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41D5" w14:textId="02086BF6" w:rsidR="00B547E2" w:rsidRDefault="0091708B" w:rsidP="002217C7">
      <w:pPr>
        <w:jc w:val="center"/>
        <w:rPr>
          <w:b/>
          <w:bCs/>
          <w:sz w:val="28"/>
          <w:szCs w:val="28"/>
        </w:rPr>
      </w:pPr>
      <w:r>
        <w:rPr>
          <w:b/>
          <w:bCs/>
          <w:sz w:val="28"/>
          <w:szCs w:val="28"/>
        </w:rPr>
        <w:t xml:space="preserve">Annex K – </w:t>
      </w:r>
      <w:r w:rsidR="00B547E2" w:rsidRPr="002217C7">
        <w:rPr>
          <w:b/>
          <w:bCs/>
          <w:sz w:val="28"/>
          <w:szCs w:val="28"/>
        </w:rPr>
        <w:t xml:space="preserve">Additional clarifications on financing not linked to </w:t>
      </w:r>
      <w:proofErr w:type="gramStart"/>
      <w:r w:rsidR="00B547E2" w:rsidRPr="002217C7">
        <w:rPr>
          <w:b/>
          <w:bCs/>
          <w:sz w:val="28"/>
          <w:szCs w:val="28"/>
        </w:rPr>
        <w:t>costs</w:t>
      </w:r>
      <w:proofErr w:type="gramEnd"/>
    </w:p>
    <w:p w14:paraId="6DC7ED00" w14:textId="320262E2" w:rsidR="0091708B" w:rsidRPr="0091708B" w:rsidRDefault="0091708B" w:rsidP="002217C7">
      <w:pPr>
        <w:jc w:val="center"/>
        <w:rPr>
          <w:b/>
          <w:bCs/>
          <w:sz w:val="28"/>
          <w:szCs w:val="28"/>
        </w:rPr>
      </w:pPr>
      <w:r>
        <w:rPr>
          <w:b/>
          <w:bCs/>
          <w:sz w:val="28"/>
          <w:szCs w:val="28"/>
        </w:rPr>
        <w:t>How to embed FNLC features in a grant proposal</w:t>
      </w:r>
    </w:p>
    <w:p w14:paraId="6504A520" w14:textId="77777777" w:rsidR="00651A81" w:rsidRDefault="00651A81"/>
    <w:p w14:paraId="32F211CC" w14:textId="43CB2080" w:rsidR="00146460" w:rsidRDefault="006C7CD0" w:rsidP="00146460">
      <w:r>
        <w:t xml:space="preserve">Provided that the call for proposals </w:t>
      </w:r>
      <w:r w:rsidR="006C7834">
        <w:t xml:space="preserve">(or the letter inviting </w:t>
      </w:r>
      <w:r w:rsidR="00E46C8D">
        <w:t xml:space="preserve">for </w:t>
      </w:r>
      <w:r w:rsidR="006C7834">
        <w:t xml:space="preserve">an application in case of grants awarded outside a call for proposals) </w:t>
      </w:r>
      <w:r>
        <w:t xml:space="preserve">allows for </w:t>
      </w:r>
      <w:r w:rsidR="000A61A4">
        <w:t>financing not linked to costs (</w:t>
      </w:r>
      <w:r w:rsidR="006C7834">
        <w:t>hereinafter “</w:t>
      </w:r>
      <w:r w:rsidR="000A61A4">
        <w:t>FNLC</w:t>
      </w:r>
      <w:r w:rsidR="006C7834">
        <w:t>”</w:t>
      </w:r>
      <w:r w:rsidR="000A61A4">
        <w:t>) as form of Union contribution (combined or alternative to the cost-based ones)</w:t>
      </w:r>
      <w:r w:rsidR="00CB73F2">
        <w:t xml:space="preserve">, </w:t>
      </w:r>
      <w:r w:rsidR="000A61A4">
        <w:t xml:space="preserve">the applicant is required to </w:t>
      </w:r>
      <w:r w:rsidR="00A16CDD">
        <w:t xml:space="preserve">provide unequivocal and clear </w:t>
      </w:r>
      <w:r w:rsidR="00CC5CC3">
        <w:t xml:space="preserve">information </w:t>
      </w:r>
      <w:r w:rsidR="0021068C">
        <w:t xml:space="preserve">in its application that </w:t>
      </w:r>
      <w:r w:rsidR="00E431BF">
        <w:t>includes</w:t>
      </w:r>
      <w:r w:rsidR="00CC5CC3">
        <w:t xml:space="preserve"> the use of FNLC</w:t>
      </w:r>
      <w:r w:rsidR="006C7834">
        <w:t xml:space="preserve"> (see in particular Article 14bis of the General Conditions of grant contracts</w:t>
      </w:r>
      <w:r w:rsidR="006C7834">
        <w:rPr>
          <w:rStyle w:val="FootnoteReference"/>
        </w:rPr>
        <w:footnoteReference w:id="2"/>
      </w:r>
      <w:r w:rsidR="006C7834">
        <w:t>)</w:t>
      </w:r>
      <w:r w:rsidR="00CC5CC3">
        <w:t>.</w:t>
      </w:r>
    </w:p>
    <w:p w14:paraId="6337F7CB" w14:textId="23959E43" w:rsidR="00146460" w:rsidRDefault="00146460">
      <w:r w:rsidRPr="00146460">
        <w:rPr>
          <w:rFonts w:cs="Times New Roman"/>
          <w:lang w:val="en-IE"/>
        </w:rPr>
        <w:t xml:space="preserve">Please note that the contracting authority </w:t>
      </w:r>
      <w:proofErr w:type="gramStart"/>
      <w:r w:rsidRPr="00146460">
        <w:rPr>
          <w:rFonts w:cs="Times New Roman"/>
          <w:lang w:val="en-IE"/>
        </w:rPr>
        <w:t>has to</w:t>
      </w:r>
      <w:proofErr w:type="gramEnd"/>
      <w:r w:rsidRPr="00146460">
        <w:rPr>
          <w:rFonts w:cs="Times New Roman"/>
          <w:lang w:val="en-IE"/>
        </w:rPr>
        <w:t xml:space="preserve"> indicate which types of contributions are allowed for a given call for proposals. The applicants are free to choose within all forms allowed</w:t>
      </w:r>
      <w:r w:rsidRPr="00146460">
        <w:t>.</w:t>
      </w:r>
    </w:p>
    <w:p w14:paraId="05F4C643" w14:textId="72319B1D" w:rsidR="00232629" w:rsidRDefault="00E20058" w:rsidP="002217C7">
      <w:r>
        <w:t xml:space="preserve">This </w:t>
      </w:r>
      <w:r w:rsidR="008B4091">
        <w:t xml:space="preserve">Annex </w:t>
      </w:r>
      <w:r w:rsidR="00E716C3">
        <w:t>K</w:t>
      </w:r>
      <w:r>
        <w:t xml:space="preserve"> provides </w:t>
      </w:r>
      <w:r w:rsidR="00011214">
        <w:t xml:space="preserve">additional </w:t>
      </w:r>
      <w:r>
        <w:t xml:space="preserve">guidance to </w:t>
      </w:r>
      <w:r w:rsidR="00B547E2">
        <w:t xml:space="preserve">applicants </w:t>
      </w:r>
      <w:r w:rsidR="0091708B">
        <w:t xml:space="preserve">that intend to use </w:t>
      </w:r>
      <w:r>
        <w:t>financing not linked to costs (FNLC)</w:t>
      </w:r>
      <w:r w:rsidR="0091708B">
        <w:t xml:space="preserve"> and how this</w:t>
      </w:r>
      <w:r>
        <w:t xml:space="preserve"> is accurately transposed in the relevant sections of </w:t>
      </w:r>
      <w:r w:rsidR="00E34C44">
        <w:t xml:space="preserve">the application form </w:t>
      </w:r>
      <w:r w:rsidR="0091708B">
        <w:t>and related Annexes</w:t>
      </w:r>
      <w:r>
        <w:t>.</w:t>
      </w:r>
      <w:r w:rsidR="00774F10">
        <w:t xml:space="preserve"> </w:t>
      </w:r>
    </w:p>
    <w:p w14:paraId="204E6D85" w14:textId="5EC89391" w:rsidR="00855C2F" w:rsidRDefault="00CA3CFC" w:rsidP="00855C2F">
      <w:r>
        <w:t>Because of the nature of FNLC as form of Union contribution</w:t>
      </w:r>
      <w:r w:rsidR="00D6240C">
        <w:t xml:space="preserve"> (e.g. </w:t>
      </w:r>
      <w:r w:rsidR="006175C6">
        <w:t xml:space="preserve">subject to the achievement of results measured by reference to pre-agreed indicators), it is </w:t>
      </w:r>
      <w:r w:rsidR="00B3414E">
        <w:t xml:space="preserve">recommended to the applicant to </w:t>
      </w:r>
      <w:proofErr w:type="gramStart"/>
      <w:r w:rsidR="009B4694">
        <w:t>design clearly</w:t>
      </w:r>
      <w:proofErr w:type="gramEnd"/>
      <w:r w:rsidR="009B4694">
        <w:t xml:space="preserve"> the intervention logic (with its results and indicators)</w:t>
      </w:r>
      <w:r w:rsidR="00DD1750">
        <w:t xml:space="preserve"> in Annex e3d</w:t>
      </w:r>
      <w:r w:rsidR="009B4694">
        <w:t xml:space="preserve"> and eventuall</w:t>
      </w:r>
      <w:r w:rsidR="006E28B0">
        <w:t>y transpose them in the budget (Annex e3c) and provide all details and information required in the application form (Annex e3b).</w:t>
      </w:r>
      <w:r w:rsidR="00DD1750">
        <w:t xml:space="preserve"> </w:t>
      </w:r>
      <w:r w:rsidR="00855C2F">
        <w:t xml:space="preserve">Accordingly, this </w:t>
      </w:r>
      <w:r w:rsidR="008B4091">
        <w:t>A</w:t>
      </w:r>
      <w:r w:rsidR="00855C2F">
        <w:t>nnex K focuses on the FNLC elements the applicant is requested to provide in:</w:t>
      </w:r>
    </w:p>
    <w:p w14:paraId="7BCC5876" w14:textId="77777777" w:rsidR="00855C2F" w:rsidRDefault="00855C2F" w:rsidP="00855C2F">
      <w:pPr>
        <w:pStyle w:val="ListParagraph"/>
        <w:numPr>
          <w:ilvl w:val="0"/>
          <w:numId w:val="10"/>
        </w:numPr>
      </w:pPr>
      <w:r>
        <w:t xml:space="preserve">Annex e3d – </w:t>
      </w:r>
      <w:proofErr w:type="spellStart"/>
      <w:proofErr w:type="gramStart"/>
      <w:r>
        <w:t>Logframe</w:t>
      </w:r>
      <w:proofErr w:type="spellEnd"/>
      <w:proofErr w:type="gramEnd"/>
    </w:p>
    <w:p w14:paraId="696A9C34" w14:textId="77777777" w:rsidR="00855C2F" w:rsidRDefault="00855C2F" w:rsidP="00855C2F">
      <w:pPr>
        <w:pStyle w:val="ListParagraph"/>
        <w:numPr>
          <w:ilvl w:val="0"/>
          <w:numId w:val="10"/>
        </w:numPr>
      </w:pPr>
      <w:r>
        <w:t xml:space="preserve">Annex e3c – </w:t>
      </w:r>
      <w:proofErr w:type="gramStart"/>
      <w:r>
        <w:t>Budget</w:t>
      </w:r>
      <w:proofErr w:type="gramEnd"/>
    </w:p>
    <w:p w14:paraId="39F7621D" w14:textId="77777777" w:rsidR="00855C2F" w:rsidRDefault="00855C2F" w:rsidP="00855C2F">
      <w:pPr>
        <w:pStyle w:val="ListParagraph"/>
        <w:numPr>
          <w:ilvl w:val="0"/>
          <w:numId w:val="10"/>
        </w:numPr>
      </w:pPr>
      <w:r>
        <w:t xml:space="preserve">Annex e3b – Application </w:t>
      </w:r>
      <w:proofErr w:type="gramStart"/>
      <w:r>
        <w:t>form</w:t>
      </w:r>
      <w:proofErr w:type="gramEnd"/>
    </w:p>
    <w:p w14:paraId="7B8FE411" w14:textId="77777777" w:rsidR="00316B58" w:rsidRDefault="00316B58" w:rsidP="00232629"/>
    <w:p w14:paraId="71BF4B27" w14:textId="4731B709" w:rsidR="00316B58" w:rsidRDefault="00316B58" w:rsidP="00316B58">
      <w:r>
        <w:t xml:space="preserve">This </w:t>
      </w:r>
      <w:r w:rsidR="00E46767" w:rsidRPr="002217C7">
        <w:rPr>
          <w:lang w:val="en-IE"/>
        </w:rPr>
        <w:t>A</w:t>
      </w:r>
      <w:proofErr w:type="spellStart"/>
      <w:r>
        <w:t>nnex</w:t>
      </w:r>
      <w:proofErr w:type="spellEnd"/>
      <w:r>
        <w:t xml:space="preserve"> K also provides </w:t>
      </w:r>
      <w:r w:rsidRPr="005A1AE4">
        <w:rPr>
          <w:u w:val="single"/>
        </w:rPr>
        <w:t>indicative checklists</w:t>
      </w:r>
      <w:r>
        <w:t xml:space="preserve"> that the applicant could use as further guidance to make sure FNLC elements are adequately embedded in the application submitted and its </w:t>
      </w:r>
      <w:r w:rsidR="00E46767">
        <w:t>a</w:t>
      </w:r>
      <w:r>
        <w:t>nnexes.</w:t>
      </w:r>
    </w:p>
    <w:p w14:paraId="2729BB8D" w14:textId="7266C53D" w:rsidR="00E20058" w:rsidRDefault="00E20058"/>
    <w:p w14:paraId="5A2177B7" w14:textId="620431D7" w:rsidR="00651A81" w:rsidRDefault="0070526A">
      <w:r>
        <w:t>Without prejudice to the General Conditions for grant contracts</w:t>
      </w:r>
      <w:r w:rsidR="00921BE4">
        <w:t>, t</w:t>
      </w:r>
      <w:r w:rsidR="00651A81">
        <w:t>he key elements for the use of FNLC are listed below (not exhaustive list):</w:t>
      </w:r>
    </w:p>
    <w:p w14:paraId="4045D195" w14:textId="77777777" w:rsidR="00651A81" w:rsidRDefault="00651A81" w:rsidP="00651A81">
      <w:pPr>
        <w:pStyle w:val="ListParagraph"/>
        <w:numPr>
          <w:ilvl w:val="0"/>
          <w:numId w:val="2"/>
        </w:numPr>
      </w:pPr>
      <w:r>
        <w:t xml:space="preserve">FNLC can cover the entirety or a part of the EU </w:t>
      </w:r>
      <w:proofErr w:type="gramStart"/>
      <w:r>
        <w:t>contribution;</w:t>
      </w:r>
      <w:proofErr w:type="gramEnd"/>
    </w:p>
    <w:p w14:paraId="51862409" w14:textId="4920297B" w:rsidR="00651A81" w:rsidRDefault="00651A81" w:rsidP="00651A81">
      <w:pPr>
        <w:pStyle w:val="ListParagraph"/>
        <w:numPr>
          <w:ilvl w:val="0"/>
          <w:numId w:val="2"/>
        </w:numPr>
      </w:pPr>
      <w:r>
        <w:t xml:space="preserve">FNLC is based on the achievement of results measured by previously set performance indicators. Such elements (results and indicators) are to be clearly spelled out and described in </w:t>
      </w:r>
      <w:r w:rsidR="00774F10">
        <w:t xml:space="preserve">the relevant sections of the </w:t>
      </w:r>
      <w:r w:rsidR="00EB719E">
        <w:t>A</w:t>
      </w:r>
      <w:r w:rsidR="00774F10">
        <w:t xml:space="preserve">pplication </w:t>
      </w:r>
      <w:r w:rsidR="00EB719E">
        <w:t>f</w:t>
      </w:r>
      <w:r w:rsidR="00774F10">
        <w:t>orm (</w:t>
      </w:r>
      <w:r w:rsidR="00774F10" w:rsidRPr="002217C7">
        <w:t>Annex e3b</w:t>
      </w:r>
      <w:r w:rsidR="00774F10">
        <w:t xml:space="preserve">) and the </w:t>
      </w:r>
      <w:proofErr w:type="spellStart"/>
      <w:r w:rsidR="00774F10">
        <w:t>Logframe</w:t>
      </w:r>
      <w:proofErr w:type="spellEnd"/>
      <w:r w:rsidR="00774F10">
        <w:t xml:space="preserve"> (</w:t>
      </w:r>
      <w:r w:rsidR="00774F10" w:rsidRPr="002217C7">
        <w:t>Annex e3d</w:t>
      </w:r>
      <w:proofErr w:type="gramStart"/>
      <w:r w:rsidR="00774F10">
        <w:t>)</w:t>
      </w:r>
      <w:r>
        <w:t>;</w:t>
      </w:r>
      <w:proofErr w:type="gramEnd"/>
    </w:p>
    <w:p w14:paraId="2072897A" w14:textId="71E42B92" w:rsidR="0091708B" w:rsidRDefault="00E46767" w:rsidP="0091708B">
      <w:pPr>
        <w:pStyle w:val="ListParagraph"/>
        <w:numPr>
          <w:ilvl w:val="0"/>
          <w:numId w:val="2"/>
        </w:numPr>
      </w:pPr>
      <w:r>
        <w:t xml:space="preserve">the </w:t>
      </w:r>
      <w:r w:rsidR="0091708B">
        <w:t xml:space="preserve">same results and indicators that are spelled out and described in Annex I as linked to FNLC are to be listed in </w:t>
      </w:r>
      <w:r w:rsidR="00774F10">
        <w:t>the</w:t>
      </w:r>
      <w:r w:rsidR="0091708B">
        <w:t xml:space="preserve"> </w:t>
      </w:r>
      <w:r w:rsidR="0091708B" w:rsidDel="00EB719E">
        <w:t>B</w:t>
      </w:r>
      <w:r w:rsidR="0091708B">
        <w:t>udget</w:t>
      </w:r>
      <w:r w:rsidR="00774F10">
        <w:t xml:space="preserve"> (</w:t>
      </w:r>
      <w:r w:rsidR="00774F10" w:rsidRPr="002217C7">
        <w:t>Annex e3c</w:t>
      </w:r>
      <w:r w:rsidR="00CB2BAC" w:rsidRPr="002217C7">
        <w:t xml:space="preserve">, tab 1.c </w:t>
      </w:r>
      <w:r w:rsidR="0079715B" w:rsidRPr="002217C7">
        <w:t>for a budget entirely FNLC</w:t>
      </w:r>
      <w:proofErr w:type="gramStart"/>
      <w:r w:rsidR="00774F10">
        <w:t>)</w:t>
      </w:r>
      <w:r w:rsidR="0091708B">
        <w:t>;</w:t>
      </w:r>
      <w:proofErr w:type="gramEnd"/>
    </w:p>
    <w:p w14:paraId="22213E1F" w14:textId="0DBC13AA" w:rsidR="00651A81" w:rsidRDefault="00651A81" w:rsidP="00651A81">
      <w:pPr>
        <w:pStyle w:val="ListParagraph"/>
        <w:numPr>
          <w:ilvl w:val="0"/>
          <w:numId w:val="2"/>
        </w:numPr>
      </w:pPr>
      <w:r>
        <w:t>FNLC part of the action is not subject to any other provision applicable to costs (i.e. eligibility, direct and indirect, contingency, expenditure verification, no-profit, etc.</w:t>
      </w:r>
      <w:proofErr w:type="gramStart"/>
      <w:r>
        <w:t>);</w:t>
      </w:r>
      <w:proofErr w:type="gramEnd"/>
    </w:p>
    <w:p w14:paraId="76E4ACF9" w14:textId="596882B6" w:rsidR="00651A81" w:rsidRDefault="00E46767" w:rsidP="00651A81">
      <w:pPr>
        <w:pStyle w:val="ListParagraph"/>
        <w:numPr>
          <w:ilvl w:val="0"/>
          <w:numId w:val="2"/>
        </w:numPr>
      </w:pPr>
      <w:r>
        <w:t xml:space="preserve">the </w:t>
      </w:r>
      <w:r w:rsidR="00651A81">
        <w:t>financial reporting on the FNLC part of the action is not to be based on costs. However, the necessary supporting documents, including where relevant accounting documents, are to be provided, if requested.</w:t>
      </w:r>
    </w:p>
    <w:p w14:paraId="6F12403D" w14:textId="196B77EE" w:rsidR="00E20058" w:rsidRDefault="00651A81">
      <w:r>
        <w:lastRenderedPageBreak/>
        <w:t xml:space="preserve">Provided that the intervention includes results measured via performance indicators, which are clearly identified in the </w:t>
      </w:r>
      <w:proofErr w:type="spellStart"/>
      <w:r>
        <w:t>Logframe</w:t>
      </w:r>
      <w:proofErr w:type="spellEnd"/>
      <w:r>
        <w:t xml:space="preserve"> and the </w:t>
      </w:r>
      <w:r w:rsidR="002C7DDA">
        <w:t>A</w:t>
      </w:r>
      <w:r>
        <w:t>pplication form</w:t>
      </w:r>
      <w:r w:rsidR="0091708B">
        <w:t xml:space="preserve"> (</w:t>
      </w:r>
      <w:r w:rsidR="0091708B" w:rsidRPr="002217C7">
        <w:t>section 2.1.1 of Annex e3b</w:t>
      </w:r>
      <w:r w:rsidR="0091708B">
        <w:t>)</w:t>
      </w:r>
      <w:r>
        <w:t xml:space="preserve">, the results and the related performance indicators will need to be transposed in amounts specified in the </w:t>
      </w:r>
      <w:r w:rsidR="00774F10">
        <w:t>B</w:t>
      </w:r>
      <w:r>
        <w:t>udget (</w:t>
      </w:r>
      <w:r w:rsidRPr="002217C7">
        <w:t xml:space="preserve">Annex </w:t>
      </w:r>
      <w:r w:rsidR="0091708B" w:rsidRPr="002217C7">
        <w:t>e3c</w:t>
      </w:r>
      <w:r>
        <w:t>)</w:t>
      </w:r>
      <w:r w:rsidR="00003658">
        <w:t>.</w:t>
      </w:r>
    </w:p>
    <w:p w14:paraId="7CD0DA97" w14:textId="77777777" w:rsidR="00003658" w:rsidRDefault="00003658"/>
    <w:p w14:paraId="14F9990C" w14:textId="4552EC5F" w:rsidR="00003658" w:rsidRDefault="00003658" w:rsidP="002217C7">
      <w:pPr>
        <w:pBdr>
          <w:top w:val="single" w:sz="4" w:space="1" w:color="auto"/>
          <w:left w:val="single" w:sz="4" w:space="4" w:color="auto"/>
          <w:bottom w:val="single" w:sz="4" w:space="1" w:color="auto"/>
          <w:right w:val="single" w:sz="4" w:space="4" w:color="auto"/>
        </w:pBdr>
      </w:pPr>
      <w:r>
        <w:t xml:space="preserve">Disclaimer: the examples provided are meant to show the consistency between the </w:t>
      </w:r>
      <w:proofErr w:type="spellStart"/>
      <w:r>
        <w:t>Logframe</w:t>
      </w:r>
      <w:proofErr w:type="spellEnd"/>
      <w:r>
        <w:t xml:space="preserve">, the budget, and the application form narrative section. They are </w:t>
      </w:r>
      <w:r w:rsidRPr="00CE2D8E">
        <w:rPr>
          <w:b/>
          <w:bCs/>
          <w:u w:val="single"/>
        </w:rPr>
        <w:t>fictitious</w:t>
      </w:r>
      <w:r>
        <w:t xml:space="preserve"> and </w:t>
      </w:r>
      <w:r w:rsidR="00CE2D8E" w:rsidRPr="009B3217">
        <w:rPr>
          <w:b/>
          <w:bCs/>
          <w:u w:val="single"/>
        </w:rPr>
        <w:t>figures are made up</w:t>
      </w:r>
      <w:r w:rsidR="00CE2D8E">
        <w:t xml:space="preserve">. </w:t>
      </w:r>
    </w:p>
    <w:p w14:paraId="0E6D7314" w14:textId="77777777" w:rsidR="0079715B" w:rsidRDefault="0079715B"/>
    <w:p w14:paraId="31283654" w14:textId="77777777" w:rsidR="0079715B" w:rsidRDefault="0079715B"/>
    <w:p w14:paraId="300A1943" w14:textId="77777777" w:rsidR="00AE4FA0" w:rsidRDefault="00AE4FA0">
      <w:pPr>
        <w:sectPr w:rsidR="00AE4FA0" w:rsidSect="002217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702" w:left="1440" w:header="708" w:footer="590" w:gutter="0"/>
          <w:cols w:space="708"/>
          <w:docGrid w:linePitch="360"/>
        </w:sectPr>
      </w:pPr>
    </w:p>
    <w:p w14:paraId="6018C070" w14:textId="695CCD1F" w:rsidR="0091708B" w:rsidRPr="002217C7" w:rsidRDefault="00994D25" w:rsidP="0091708B">
      <w:pPr>
        <w:pStyle w:val="Heading1"/>
        <w:rPr>
          <w:lang w:val="en-IE"/>
        </w:rPr>
      </w:pPr>
      <w:r w:rsidRPr="002217C7">
        <w:rPr>
          <w:lang w:val="en-IE"/>
        </w:rPr>
        <w:lastRenderedPageBreak/>
        <w:t>Annex e3d - T</w:t>
      </w:r>
      <w:r w:rsidR="0091708B" w:rsidRPr="002217C7">
        <w:rPr>
          <w:lang w:val="en-IE"/>
        </w:rPr>
        <w:t xml:space="preserve">he </w:t>
      </w:r>
      <w:proofErr w:type="spellStart"/>
      <w:r w:rsidR="0091708B" w:rsidRPr="002217C7">
        <w:rPr>
          <w:lang w:val="en-IE"/>
        </w:rPr>
        <w:t>Logframe</w:t>
      </w:r>
      <w:proofErr w:type="spellEnd"/>
    </w:p>
    <w:p w14:paraId="00895838" w14:textId="24BC3FB5" w:rsidR="00AE4FA0" w:rsidRDefault="00AE4FA0">
      <w:r>
        <w:t xml:space="preserve">The </w:t>
      </w:r>
      <w:proofErr w:type="spellStart"/>
      <w:r>
        <w:t>Logframe</w:t>
      </w:r>
      <w:proofErr w:type="spellEnd"/>
      <w:r>
        <w:t xml:space="preserve"> is a tool </w:t>
      </w:r>
      <w:r w:rsidR="0091708B">
        <w:t>that</w:t>
      </w:r>
      <w:r>
        <w:t xml:space="preserve"> show</w:t>
      </w:r>
      <w:r w:rsidR="00495B0C">
        <w:t>s</w:t>
      </w:r>
      <w:r>
        <w:t xml:space="preserve"> in a structured way the intervention logic.</w:t>
      </w:r>
      <w:r w:rsidR="0091708B">
        <w:t xml:space="preserve"> The template of the </w:t>
      </w:r>
      <w:proofErr w:type="spellStart"/>
      <w:r w:rsidR="0091708B">
        <w:t>Logframe</w:t>
      </w:r>
      <w:proofErr w:type="spellEnd"/>
      <w:r w:rsidR="0091708B">
        <w:t xml:space="preserve"> is available in Annex </w:t>
      </w:r>
      <w:r w:rsidR="00774F10">
        <w:t>e3d</w:t>
      </w:r>
      <w:r w:rsidR="0091708B">
        <w:t xml:space="preserve"> and it becomes part of the grant contract.</w:t>
      </w:r>
    </w:p>
    <w:p w14:paraId="473AB122" w14:textId="2DAE81D3" w:rsidR="00AE4FA0" w:rsidRDefault="00AE4FA0">
      <w:r>
        <w:t xml:space="preserve">The </w:t>
      </w:r>
      <w:proofErr w:type="spellStart"/>
      <w:r>
        <w:t>Logframe</w:t>
      </w:r>
      <w:proofErr w:type="spellEnd"/>
      <w:r>
        <w:t xml:space="preserve"> also explain</w:t>
      </w:r>
      <w:r w:rsidR="0091708B">
        <w:t>s</w:t>
      </w:r>
      <w:r>
        <w:t xml:space="preserve"> how performance is measured, e.g. results measured via pre-agreed indicators.</w:t>
      </w:r>
      <w:r w:rsidR="0091708B">
        <w:t xml:space="preserve"> As per </w:t>
      </w:r>
      <w:r w:rsidR="0091708B" w:rsidRPr="002217C7">
        <w:t xml:space="preserve">Article 14bis </w:t>
      </w:r>
      <w:r w:rsidR="0091708B">
        <w:t xml:space="preserve">of the General Conditions, FNLC is a form of Union contribution based on the achievement of results measured via pre-agreed indicator. Hence, the tight link between the results (outputs/outcomes/impact) and indicators in the </w:t>
      </w:r>
      <w:proofErr w:type="spellStart"/>
      <w:r w:rsidR="0091708B">
        <w:t>Logframe</w:t>
      </w:r>
      <w:proofErr w:type="spellEnd"/>
      <w:r w:rsidR="0091708B">
        <w:t xml:space="preserve"> with FNLC.</w:t>
      </w:r>
      <w:r w:rsidR="00025F3D">
        <w:t xml:space="preserve"> However, please note that </w:t>
      </w:r>
      <w:r w:rsidR="00025F3D" w:rsidRPr="007B1B91">
        <w:rPr>
          <w:u w:val="single"/>
        </w:rPr>
        <w:t>not all results</w:t>
      </w:r>
      <w:r w:rsidR="007B1B91">
        <w:rPr>
          <w:u w:val="single"/>
        </w:rPr>
        <w:t xml:space="preserve"> (outputs, outcomes, impact)</w:t>
      </w:r>
      <w:r w:rsidR="00025F3D" w:rsidRPr="007B1B91">
        <w:rPr>
          <w:u w:val="single"/>
        </w:rPr>
        <w:t xml:space="preserve"> and indicators </w:t>
      </w:r>
      <w:r w:rsidR="00A82F52" w:rsidRPr="007B1B91">
        <w:rPr>
          <w:u w:val="single"/>
        </w:rPr>
        <w:t xml:space="preserve">in a </w:t>
      </w:r>
      <w:proofErr w:type="spellStart"/>
      <w:r w:rsidR="00A82F52" w:rsidRPr="007B1B91">
        <w:rPr>
          <w:u w:val="single"/>
        </w:rPr>
        <w:t>Logframe</w:t>
      </w:r>
      <w:proofErr w:type="spellEnd"/>
      <w:r w:rsidR="00A82F52" w:rsidRPr="007B1B91">
        <w:rPr>
          <w:u w:val="single"/>
        </w:rPr>
        <w:t xml:space="preserve"> are suitable </w:t>
      </w:r>
      <w:r w:rsidR="000B005B">
        <w:rPr>
          <w:u w:val="single"/>
        </w:rPr>
        <w:t>to be</w:t>
      </w:r>
      <w:r w:rsidR="00A43F91">
        <w:rPr>
          <w:u w:val="single"/>
        </w:rPr>
        <w:t>come headings and sub-headings of an FNLC budget</w:t>
      </w:r>
      <w:r w:rsidR="00EA56DB" w:rsidRPr="007B1B91">
        <w:rPr>
          <w:u w:val="single"/>
        </w:rPr>
        <w:t xml:space="preserve">. Some of them will be not suitable for FNLC, but still needed in the </w:t>
      </w:r>
      <w:proofErr w:type="spellStart"/>
      <w:r w:rsidR="00EA56DB" w:rsidRPr="007B1B91">
        <w:rPr>
          <w:u w:val="single"/>
        </w:rPr>
        <w:t>Logframe</w:t>
      </w:r>
      <w:proofErr w:type="spellEnd"/>
      <w:r w:rsidR="00EA56DB" w:rsidRPr="007B1B91">
        <w:rPr>
          <w:u w:val="single"/>
        </w:rPr>
        <w:t xml:space="preserve"> for monitoring, reporting, and evaluation purposes</w:t>
      </w:r>
      <w:r w:rsidR="00EA56DB">
        <w:t>.</w:t>
      </w:r>
      <w:r w:rsidR="00F85392">
        <w:t xml:space="preserve"> Therefore</w:t>
      </w:r>
      <w:r w:rsidR="00E95ABB">
        <w:t>,</w:t>
      </w:r>
      <w:r w:rsidR="00F85392">
        <w:t xml:space="preserve"> the </w:t>
      </w:r>
      <w:proofErr w:type="spellStart"/>
      <w:r w:rsidR="00F85392">
        <w:t>Logframe</w:t>
      </w:r>
      <w:proofErr w:type="spellEnd"/>
      <w:r w:rsidR="00F85392">
        <w:t xml:space="preserve"> templates requires to specify in a dedicated column which indicators are also to be budgeted</w:t>
      </w:r>
      <w:r w:rsidR="001B4474">
        <w:t xml:space="preserve"> – and to be copied faithfully in the </w:t>
      </w:r>
      <w:r w:rsidR="0040716D">
        <w:t>B</w:t>
      </w:r>
      <w:r w:rsidR="001B4474">
        <w:t>udget (</w:t>
      </w:r>
      <w:r w:rsidR="00F614D6">
        <w:t xml:space="preserve">Annex </w:t>
      </w:r>
      <w:r w:rsidR="00F12BDE">
        <w:t xml:space="preserve">e3c) and in the </w:t>
      </w:r>
      <w:r w:rsidR="0040716D">
        <w:t>A</w:t>
      </w:r>
      <w:r w:rsidR="00F12BDE">
        <w:t>pplication</w:t>
      </w:r>
      <w:r w:rsidR="0040716D">
        <w:t xml:space="preserve"> form</w:t>
      </w:r>
      <w:r w:rsidR="00F12BDE">
        <w:t xml:space="preserve"> (Annex e3b).</w:t>
      </w:r>
    </w:p>
    <w:p w14:paraId="755FBAD3" w14:textId="3DF71370" w:rsidR="00AE4FA0" w:rsidRDefault="00213A61">
      <w:proofErr w:type="gramStart"/>
      <w:r>
        <w:t>For the purpose of</w:t>
      </w:r>
      <w:proofErr w:type="gramEnd"/>
      <w:r>
        <w:t xml:space="preserve"> th</w:t>
      </w:r>
      <w:r w:rsidR="00491613">
        <w:t>e example provided in th</w:t>
      </w:r>
      <w:r>
        <w:t xml:space="preserve">is </w:t>
      </w:r>
      <w:r w:rsidR="008B4091">
        <w:t>A</w:t>
      </w:r>
      <w:r>
        <w:t>nnex K, the applicant is proposing an action that will have a duration of four years, with a maximum EU contribution of EUR 1</w:t>
      </w:r>
      <w:r w:rsidR="008B4091">
        <w:t xml:space="preserve"> </w:t>
      </w:r>
      <w:r>
        <w:t>561</w:t>
      </w:r>
      <w:r w:rsidR="008B4091">
        <w:t xml:space="preserve"> </w:t>
      </w:r>
      <w:r>
        <w:t xml:space="preserve">000, entirely FNLC, and that will focus on the energy sector. </w:t>
      </w:r>
      <w:r w:rsidR="00AE4FA0" w:rsidRPr="00774F10">
        <w:rPr>
          <w:b/>
          <w:bCs/>
          <w:u w:val="single"/>
        </w:rPr>
        <w:t xml:space="preserve">The </w:t>
      </w:r>
      <w:proofErr w:type="spellStart"/>
      <w:r w:rsidR="00AE4FA0" w:rsidRPr="00774F10">
        <w:rPr>
          <w:b/>
          <w:bCs/>
          <w:u w:val="single"/>
        </w:rPr>
        <w:t>Logframe</w:t>
      </w:r>
      <w:proofErr w:type="spellEnd"/>
      <w:r w:rsidR="00AE4FA0" w:rsidRPr="00774F10">
        <w:rPr>
          <w:b/>
          <w:bCs/>
          <w:u w:val="single"/>
        </w:rPr>
        <w:t xml:space="preserve"> below is purposively incomplete</w:t>
      </w:r>
      <w:r w:rsidR="00AE4FA0">
        <w:t xml:space="preserve"> – it is used purely to show the </w:t>
      </w:r>
      <w:r w:rsidR="00AE4FA0" w:rsidRPr="0091708B">
        <w:rPr>
          <w:b/>
          <w:bCs/>
        </w:rPr>
        <w:t xml:space="preserve">FNLC </w:t>
      </w:r>
      <w:proofErr w:type="gramStart"/>
      <w:r w:rsidR="00AE4FA0" w:rsidRPr="0091708B">
        <w:rPr>
          <w:b/>
          <w:bCs/>
        </w:rPr>
        <w:t>elements</w:t>
      </w:r>
      <w:proofErr w:type="gramEnd"/>
      <w:r w:rsidR="00AE4FA0">
        <w:t xml:space="preserve"> and it is not to be considered as an example of fully completed </w:t>
      </w:r>
      <w:proofErr w:type="spellStart"/>
      <w:r w:rsidR="00AE4FA0">
        <w:t>logframe</w:t>
      </w:r>
      <w:proofErr w:type="spellEnd"/>
      <w:r w:rsidR="00AE4FA0">
        <w:t xml:space="preserve"> for monitoring, reporting and evaluation purposes.</w:t>
      </w:r>
    </w:p>
    <w:p w14:paraId="204944E4" w14:textId="77777777" w:rsidR="002615DF" w:rsidRDefault="002615DF" w:rsidP="002615DF">
      <w:pPr>
        <w:pBdr>
          <w:top w:val="single" w:sz="4" w:space="1" w:color="auto"/>
          <w:left w:val="single" w:sz="4" w:space="4" w:color="auto"/>
          <w:bottom w:val="single" w:sz="4" w:space="1" w:color="auto"/>
          <w:right w:val="single" w:sz="4" w:space="4" w:color="auto"/>
        </w:pBdr>
      </w:pPr>
      <w:r>
        <w:t xml:space="preserve">Disclaimer: the examples provided are meant to show the consistency between the </w:t>
      </w:r>
      <w:proofErr w:type="spellStart"/>
      <w:r>
        <w:t>Logframe</w:t>
      </w:r>
      <w:proofErr w:type="spellEnd"/>
      <w:r>
        <w:t xml:space="preserve">, the budget, and the application form narrative section. They are </w:t>
      </w:r>
      <w:r w:rsidRPr="00CE2D8E">
        <w:rPr>
          <w:b/>
          <w:bCs/>
          <w:u w:val="single"/>
        </w:rPr>
        <w:t>fictitious</w:t>
      </w:r>
      <w:r>
        <w:t xml:space="preserve"> and </w:t>
      </w:r>
      <w:r w:rsidRPr="009B3217">
        <w:rPr>
          <w:b/>
          <w:bCs/>
          <w:u w:val="single"/>
        </w:rPr>
        <w:t>figures are made up</w:t>
      </w:r>
      <w:r>
        <w:t xml:space="preserve">. </w:t>
      </w:r>
    </w:p>
    <w:p w14:paraId="6068F86F" w14:textId="77777777" w:rsidR="00AE4FA0" w:rsidRDefault="00AE4FA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572"/>
        <w:gridCol w:w="2776"/>
        <w:gridCol w:w="697"/>
        <w:gridCol w:w="1137"/>
        <w:gridCol w:w="1191"/>
        <w:gridCol w:w="2770"/>
        <w:gridCol w:w="2134"/>
      </w:tblGrid>
      <w:tr w:rsidR="00411A5F" w14:paraId="507C73BF" w14:textId="77777777" w:rsidTr="0032645C">
        <w:trPr>
          <w:cantSplit/>
          <w:trHeight w:val="115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btLr"/>
            <w:hideMark/>
          </w:tcPr>
          <w:p w14:paraId="3DE4475F" w14:textId="77777777" w:rsidR="00AE4FA0" w:rsidRDefault="00AE4FA0">
            <w:pPr>
              <w:spacing w:afterLines="60" w:after="144" w:line="276" w:lineRule="auto"/>
              <w:ind w:left="113" w:right="113"/>
              <w:jc w:val="center"/>
              <w:rPr>
                <w:b/>
                <w:i/>
                <w:sz w:val="18"/>
                <w:szCs w:val="18"/>
              </w:rPr>
            </w:pPr>
            <w:r>
              <w:rPr>
                <w:b/>
                <w:i/>
                <w:sz w:val="18"/>
                <w:szCs w:val="18"/>
              </w:rPr>
              <w:t>Results</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992D6EF" w14:textId="77777777" w:rsidR="00AE4FA0" w:rsidRDefault="00AE4FA0">
            <w:pPr>
              <w:spacing w:after="0" w:line="276" w:lineRule="auto"/>
              <w:jc w:val="center"/>
              <w:rPr>
                <w:b/>
                <w:i/>
                <w:sz w:val="18"/>
                <w:szCs w:val="18"/>
              </w:rPr>
            </w:pPr>
            <w:r>
              <w:rPr>
                <w:b/>
                <w:i/>
                <w:sz w:val="18"/>
                <w:szCs w:val="18"/>
              </w:rPr>
              <w:t>Results chain</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14C7D59" w14:textId="77777777" w:rsidR="00AE4FA0" w:rsidRDefault="00AE4FA0">
            <w:pPr>
              <w:spacing w:after="0" w:line="276" w:lineRule="auto"/>
              <w:jc w:val="center"/>
              <w:rPr>
                <w:b/>
                <w:i/>
                <w:sz w:val="18"/>
                <w:szCs w:val="18"/>
              </w:rPr>
            </w:pPr>
            <w:r>
              <w:rPr>
                <w:b/>
                <w:i/>
                <w:sz w:val="18"/>
                <w:szCs w:val="18"/>
              </w:rPr>
              <w:t>Indicator</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CDC437" w14:textId="15478FC6" w:rsidR="00AE4FA0" w:rsidRPr="002B76D4" w:rsidRDefault="00AE4FA0" w:rsidP="0032645C">
            <w:pPr>
              <w:spacing w:after="0" w:line="276" w:lineRule="auto"/>
              <w:jc w:val="center"/>
              <w:rPr>
                <w:b/>
                <w:i/>
                <w:sz w:val="18"/>
                <w:szCs w:val="18"/>
              </w:rPr>
            </w:pPr>
            <w:r w:rsidRPr="002B76D4">
              <w:rPr>
                <w:b/>
                <w:i/>
                <w:sz w:val="18"/>
                <w:szCs w:val="18"/>
              </w:rPr>
              <w:t>FNLC</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E716FD0" w14:textId="678913E9" w:rsidR="00AE4FA0" w:rsidRDefault="00AE4FA0">
            <w:pPr>
              <w:spacing w:after="0" w:line="276" w:lineRule="auto"/>
              <w:jc w:val="center"/>
              <w:rPr>
                <w:b/>
                <w:i/>
                <w:sz w:val="18"/>
                <w:szCs w:val="18"/>
              </w:rPr>
            </w:pPr>
            <w:r>
              <w:rPr>
                <w:b/>
                <w:i/>
                <w:sz w:val="18"/>
                <w:szCs w:val="18"/>
              </w:rPr>
              <w:t>Baseline</w:t>
            </w:r>
          </w:p>
          <w:p w14:paraId="20DB460C" w14:textId="77777777" w:rsidR="00AE4FA0" w:rsidRDefault="00AE4FA0">
            <w:pPr>
              <w:spacing w:after="0" w:line="276" w:lineRule="auto"/>
              <w:jc w:val="center"/>
              <w:rPr>
                <w:b/>
                <w:i/>
                <w:sz w:val="18"/>
                <w:szCs w:val="18"/>
              </w:rPr>
            </w:pPr>
            <w:r>
              <w:rPr>
                <w:b/>
                <w:i/>
                <w:sz w:val="18"/>
                <w:szCs w:val="18"/>
              </w:rPr>
              <w:t>(value &amp; reference year)</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1AF8C7" w14:textId="77777777" w:rsidR="00AE4FA0" w:rsidRDefault="00AE4FA0">
            <w:pPr>
              <w:spacing w:after="0" w:line="276" w:lineRule="auto"/>
              <w:jc w:val="center"/>
              <w:rPr>
                <w:b/>
                <w:i/>
                <w:sz w:val="18"/>
                <w:szCs w:val="18"/>
              </w:rPr>
            </w:pPr>
            <w:r>
              <w:rPr>
                <w:b/>
                <w:i/>
                <w:sz w:val="18"/>
                <w:szCs w:val="18"/>
              </w:rPr>
              <w:t>Target</w:t>
            </w:r>
          </w:p>
          <w:p w14:paraId="00C6A989" w14:textId="77777777" w:rsidR="00AE4FA0" w:rsidRDefault="00AE4FA0">
            <w:pPr>
              <w:spacing w:after="0" w:line="276" w:lineRule="auto"/>
              <w:jc w:val="center"/>
              <w:rPr>
                <w:b/>
                <w:i/>
                <w:sz w:val="18"/>
                <w:szCs w:val="18"/>
              </w:rPr>
            </w:pPr>
            <w:r>
              <w:rPr>
                <w:b/>
                <w:i/>
                <w:sz w:val="18"/>
                <w:szCs w:val="18"/>
              </w:rPr>
              <w:t>(value &amp; reference year)</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062ABEF" w14:textId="77777777" w:rsidR="00AE4FA0" w:rsidRDefault="00AE4FA0">
            <w:pPr>
              <w:spacing w:after="0" w:line="276" w:lineRule="auto"/>
              <w:jc w:val="center"/>
              <w:rPr>
                <w:b/>
                <w:i/>
                <w:sz w:val="18"/>
                <w:szCs w:val="18"/>
              </w:rPr>
            </w:pPr>
            <w:r>
              <w:rPr>
                <w:b/>
                <w:i/>
                <w:sz w:val="18"/>
                <w:szCs w:val="18"/>
              </w:rPr>
              <w:t xml:space="preserve">Sources of data </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6ACE63" w14:textId="77777777" w:rsidR="00AE4FA0" w:rsidRDefault="00AE4FA0">
            <w:pPr>
              <w:spacing w:after="0" w:line="276" w:lineRule="auto"/>
              <w:jc w:val="center"/>
              <w:rPr>
                <w:b/>
                <w:i/>
                <w:sz w:val="18"/>
                <w:szCs w:val="18"/>
              </w:rPr>
            </w:pPr>
            <w:r>
              <w:rPr>
                <w:b/>
                <w:i/>
                <w:sz w:val="18"/>
                <w:szCs w:val="18"/>
              </w:rPr>
              <w:t>Assumptions</w:t>
            </w:r>
          </w:p>
        </w:tc>
      </w:tr>
      <w:tr w:rsidR="00411A5F" w14:paraId="27D23FE2" w14:textId="77777777" w:rsidTr="00AE4FA0">
        <w:trPr>
          <w:trHeight w:val="402"/>
          <w:jc w:val="center"/>
        </w:trPr>
        <w:tc>
          <w:tcPr>
            <w:tcW w:w="0" w:type="auto"/>
            <w:tcBorders>
              <w:top w:val="single" w:sz="4" w:space="0" w:color="auto"/>
              <w:left w:val="single" w:sz="4" w:space="0" w:color="auto"/>
              <w:bottom w:val="single" w:sz="4" w:space="0" w:color="auto"/>
              <w:right w:val="single" w:sz="4" w:space="0" w:color="auto"/>
            </w:tcBorders>
            <w:shd w:val="pct15" w:color="auto" w:fill="auto"/>
            <w:textDirection w:val="btLr"/>
            <w:hideMark/>
          </w:tcPr>
          <w:p w14:paraId="517140AD" w14:textId="77777777" w:rsidR="00AE4FA0" w:rsidRDefault="00AE4FA0">
            <w:pPr>
              <w:tabs>
                <w:tab w:val="left" w:pos="0"/>
                <w:tab w:val="left" w:pos="132"/>
              </w:tabs>
              <w:spacing w:afterLines="60" w:after="144" w:line="276" w:lineRule="auto"/>
              <w:ind w:left="113" w:right="113" w:hanging="101"/>
              <w:jc w:val="center"/>
              <w:rPr>
                <w:b/>
                <w:i/>
                <w:sz w:val="18"/>
                <w:szCs w:val="18"/>
              </w:rPr>
            </w:pPr>
            <w:r>
              <w:rPr>
                <w:b/>
                <w:i/>
                <w:sz w:val="18"/>
                <w:szCs w:val="18"/>
              </w:rPr>
              <w:t>Impact (Overall objective)</w:t>
            </w:r>
          </w:p>
        </w:tc>
        <w:tc>
          <w:tcPr>
            <w:tcW w:w="0" w:type="auto"/>
            <w:tcBorders>
              <w:top w:val="single" w:sz="4" w:space="0" w:color="auto"/>
              <w:left w:val="single" w:sz="4" w:space="0" w:color="auto"/>
              <w:bottom w:val="single" w:sz="4" w:space="0" w:color="auto"/>
              <w:right w:val="single" w:sz="4" w:space="0" w:color="auto"/>
            </w:tcBorders>
            <w:hideMark/>
          </w:tcPr>
          <w:p w14:paraId="3E05E956" w14:textId="7D405CEE" w:rsidR="00AE4FA0" w:rsidRPr="00AE4FA0" w:rsidRDefault="00AE4FA0">
            <w:pPr>
              <w:autoSpaceDE w:val="0"/>
              <w:autoSpaceDN w:val="0"/>
              <w:adjustRightInd w:val="0"/>
              <w:spacing w:after="0" w:line="276" w:lineRule="auto"/>
              <w:jc w:val="left"/>
              <w:rPr>
                <w:b/>
                <w:bCs/>
                <w:sz w:val="18"/>
                <w:szCs w:val="18"/>
              </w:rPr>
            </w:pPr>
            <w:r w:rsidRPr="00AE4FA0">
              <w:rPr>
                <w:b/>
                <w:bCs/>
                <w:sz w:val="18"/>
                <w:szCs w:val="18"/>
              </w:rPr>
              <w:t>Impact</w:t>
            </w:r>
          </w:p>
          <w:p w14:paraId="00CB01F8" w14:textId="421BC29D" w:rsidR="00AE4FA0" w:rsidRDefault="00AE4FA0">
            <w:pPr>
              <w:autoSpaceDE w:val="0"/>
              <w:autoSpaceDN w:val="0"/>
              <w:adjustRightInd w:val="0"/>
              <w:spacing w:after="0" w:line="276" w:lineRule="auto"/>
              <w:jc w:val="left"/>
              <w:rPr>
                <w:sz w:val="18"/>
                <w:szCs w:val="18"/>
              </w:rPr>
            </w:pPr>
            <w:r>
              <w:rPr>
                <w:sz w:val="18"/>
                <w:szCs w:val="18"/>
              </w:rPr>
              <w:t>To strengthen the role of the Ministry of Energy as the energy sector policyholder</w:t>
            </w:r>
          </w:p>
        </w:tc>
        <w:tc>
          <w:tcPr>
            <w:tcW w:w="0" w:type="auto"/>
            <w:tcBorders>
              <w:top w:val="single" w:sz="4" w:space="0" w:color="auto"/>
              <w:left w:val="single" w:sz="4" w:space="0" w:color="auto"/>
              <w:bottom w:val="single" w:sz="4" w:space="0" w:color="auto"/>
              <w:right w:val="single" w:sz="4" w:space="0" w:color="auto"/>
            </w:tcBorders>
            <w:hideMark/>
          </w:tcPr>
          <w:p w14:paraId="071747C3" w14:textId="77777777" w:rsidR="00AE4FA0" w:rsidRDefault="00AE4FA0">
            <w:pPr>
              <w:autoSpaceDE w:val="0"/>
              <w:autoSpaceDN w:val="0"/>
              <w:adjustRightInd w:val="0"/>
              <w:spacing w:afterLines="60" w:after="144" w:line="276" w:lineRule="auto"/>
              <w:jc w:val="left"/>
              <w:rPr>
                <w:sz w:val="18"/>
                <w:szCs w:val="18"/>
              </w:rPr>
            </w:pPr>
            <w:r>
              <w:rPr>
                <w:sz w:val="18"/>
                <w:szCs w:val="18"/>
              </w:rPr>
              <w:t>Level of stakeholder perceptions of Ministry of Energy’s role and performance.</w:t>
            </w:r>
          </w:p>
        </w:tc>
        <w:tc>
          <w:tcPr>
            <w:tcW w:w="0" w:type="auto"/>
            <w:tcBorders>
              <w:top w:val="single" w:sz="4" w:space="0" w:color="auto"/>
              <w:left w:val="single" w:sz="4" w:space="0" w:color="auto"/>
              <w:bottom w:val="single" w:sz="4" w:space="0" w:color="auto"/>
              <w:right w:val="single" w:sz="4" w:space="0" w:color="auto"/>
            </w:tcBorders>
          </w:tcPr>
          <w:p w14:paraId="63333D26" w14:textId="02458474" w:rsidR="00AE4FA0" w:rsidRPr="002B76D4" w:rsidRDefault="00AE4FA0" w:rsidP="002217C7">
            <w:pPr>
              <w:autoSpaceDE w:val="0"/>
              <w:autoSpaceDN w:val="0"/>
              <w:adjustRightInd w:val="0"/>
              <w:spacing w:line="276" w:lineRule="auto"/>
              <w:ind w:left="-68"/>
              <w:contextualSpacing/>
              <w:jc w:val="center"/>
              <w:rPr>
                <w:color w:val="FF0000"/>
                <w:sz w:val="18"/>
                <w:szCs w:val="18"/>
              </w:rPr>
            </w:pPr>
            <w:r w:rsidRPr="002B76D4">
              <w:rPr>
                <w:color w:val="FF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6AA62BC3" w14:textId="7DDAF277" w:rsidR="00AE4FA0" w:rsidRDefault="00AE4FA0" w:rsidP="00AE4FA0">
            <w:pPr>
              <w:autoSpaceDE w:val="0"/>
              <w:autoSpaceDN w:val="0"/>
              <w:adjustRightInd w:val="0"/>
              <w:spacing w:line="276" w:lineRule="auto"/>
              <w:contextualSpacing/>
              <w:rPr>
                <w:sz w:val="18"/>
                <w:szCs w:val="18"/>
              </w:rPr>
            </w:pPr>
            <w:r>
              <w:rPr>
                <w:sz w:val="18"/>
                <w:szCs w:val="18"/>
              </w:rPr>
              <w:t>To be defined by baseline survey (2024)</w:t>
            </w:r>
          </w:p>
        </w:tc>
        <w:tc>
          <w:tcPr>
            <w:tcW w:w="0" w:type="auto"/>
            <w:tcBorders>
              <w:top w:val="single" w:sz="4" w:space="0" w:color="auto"/>
              <w:left w:val="single" w:sz="4" w:space="0" w:color="auto"/>
              <w:bottom w:val="single" w:sz="4" w:space="0" w:color="auto"/>
              <w:right w:val="single" w:sz="4" w:space="0" w:color="auto"/>
            </w:tcBorders>
            <w:hideMark/>
          </w:tcPr>
          <w:p w14:paraId="5EAB0CE4" w14:textId="0D131FDF" w:rsidR="00AE4FA0" w:rsidRDefault="00AE4FA0">
            <w:pPr>
              <w:autoSpaceDE w:val="0"/>
              <w:autoSpaceDN w:val="0"/>
              <w:adjustRightInd w:val="0"/>
              <w:spacing w:afterLines="60" w:after="144" w:line="276" w:lineRule="auto"/>
              <w:jc w:val="left"/>
              <w:rPr>
                <w:sz w:val="18"/>
                <w:szCs w:val="18"/>
              </w:rPr>
            </w:pPr>
            <w:r>
              <w:rPr>
                <w:sz w:val="18"/>
                <w:szCs w:val="18"/>
              </w:rPr>
              <w:t>To be defined by baseline survey (2027)</w:t>
            </w:r>
          </w:p>
        </w:tc>
        <w:tc>
          <w:tcPr>
            <w:tcW w:w="0" w:type="auto"/>
            <w:tcBorders>
              <w:top w:val="single" w:sz="4" w:space="0" w:color="auto"/>
              <w:left w:val="single" w:sz="4" w:space="0" w:color="auto"/>
              <w:bottom w:val="single" w:sz="4" w:space="0" w:color="auto"/>
              <w:right w:val="single" w:sz="4" w:space="0" w:color="auto"/>
            </w:tcBorders>
            <w:hideMark/>
          </w:tcPr>
          <w:p w14:paraId="075CE1E4" w14:textId="5945C709" w:rsidR="00AE4FA0" w:rsidRDefault="00AE4FA0">
            <w:pPr>
              <w:autoSpaceDE w:val="0"/>
              <w:autoSpaceDN w:val="0"/>
              <w:adjustRightInd w:val="0"/>
              <w:spacing w:afterLines="60" w:after="144" w:line="276" w:lineRule="auto"/>
              <w:jc w:val="left"/>
              <w:rPr>
                <w:sz w:val="18"/>
                <w:szCs w:val="18"/>
              </w:rPr>
            </w:pPr>
            <w:r>
              <w:rPr>
                <w:sz w:val="18"/>
                <w:szCs w:val="18"/>
              </w:rPr>
              <w:t>Stakeholder surveys including government bodies, donors, private sector, CSOs, academia.</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15292B1" w14:textId="77777777" w:rsidR="00AE4FA0" w:rsidRDefault="00AE4FA0">
            <w:pPr>
              <w:spacing w:afterLines="60" w:after="144" w:line="276" w:lineRule="auto"/>
              <w:rPr>
                <w:sz w:val="18"/>
                <w:szCs w:val="18"/>
              </w:rPr>
            </w:pPr>
            <w:r>
              <w:rPr>
                <w:i/>
                <w:sz w:val="18"/>
                <w:szCs w:val="18"/>
              </w:rPr>
              <w:t>Not applicable</w:t>
            </w:r>
          </w:p>
        </w:tc>
      </w:tr>
      <w:tr w:rsidR="00411A5F" w14:paraId="5DA24A05" w14:textId="77777777" w:rsidTr="001D121C">
        <w:trPr>
          <w:trHeight w:val="636"/>
          <w:jc w:val="center"/>
        </w:trPr>
        <w:tc>
          <w:tcPr>
            <w:tcW w:w="0" w:type="auto"/>
            <w:vMerge w:val="restart"/>
            <w:tcBorders>
              <w:top w:val="single" w:sz="4" w:space="0" w:color="auto"/>
              <w:left w:val="single" w:sz="4" w:space="0" w:color="auto"/>
              <w:right w:val="single" w:sz="4" w:space="0" w:color="auto"/>
            </w:tcBorders>
            <w:shd w:val="clear" w:color="auto" w:fill="D9D9D9"/>
            <w:textDirection w:val="btLr"/>
          </w:tcPr>
          <w:p w14:paraId="2352DF26" w14:textId="22193919" w:rsidR="005B54DB" w:rsidRDefault="005B54DB" w:rsidP="005B54DB">
            <w:pPr>
              <w:tabs>
                <w:tab w:val="left" w:pos="0"/>
                <w:tab w:val="left" w:pos="132"/>
              </w:tabs>
              <w:spacing w:afterLines="60" w:after="144" w:line="276" w:lineRule="auto"/>
              <w:ind w:left="113" w:right="113" w:hanging="101"/>
              <w:jc w:val="center"/>
              <w:rPr>
                <w:b/>
                <w:i/>
                <w:sz w:val="18"/>
                <w:szCs w:val="18"/>
              </w:rPr>
            </w:pPr>
            <w:r>
              <w:rPr>
                <w:b/>
                <w:i/>
                <w:sz w:val="18"/>
                <w:szCs w:val="18"/>
              </w:rPr>
              <w:t>Outcome (s) (Specific objective(s)</w:t>
            </w:r>
          </w:p>
        </w:tc>
        <w:tc>
          <w:tcPr>
            <w:tcW w:w="0" w:type="auto"/>
            <w:tcBorders>
              <w:top w:val="single" w:sz="4" w:space="0" w:color="auto"/>
              <w:left w:val="single" w:sz="4" w:space="0" w:color="auto"/>
              <w:right w:val="single" w:sz="4" w:space="0" w:color="auto"/>
            </w:tcBorders>
          </w:tcPr>
          <w:p w14:paraId="26C70533" w14:textId="77777777" w:rsidR="005B54DB" w:rsidRDefault="005B54DB" w:rsidP="005B54DB">
            <w:pPr>
              <w:autoSpaceDE w:val="0"/>
              <w:autoSpaceDN w:val="0"/>
              <w:adjustRightInd w:val="0"/>
              <w:spacing w:afterLines="60" w:after="144" w:line="276" w:lineRule="auto"/>
              <w:rPr>
                <w:rFonts w:eastAsia="Calibri"/>
                <w:b/>
                <w:bCs/>
                <w:sz w:val="18"/>
                <w:szCs w:val="18"/>
              </w:rPr>
            </w:pPr>
            <w:r>
              <w:rPr>
                <w:rFonts w:eastAsia="Calibri"/>
                <w:b/>
                <w:bCs/>
                <w:sz w:val="18"/>
                <w:szCs w:val="18"/>
              </w:rPr>
              <w:t>Outcome 1</w:t>
            </w:r>
          </w:p>
          <w:p w14:paraId="3D47843B" w14:textId="5ED8D62F" w:rsidR="005B54DB" w:rsidRDefault="005B54DB" w:rsidP="005B54DB">
            <w:pPr>
              <w:autoSpaceDE w:val="0"/>
              <w:autoSpaceDN w:val="0"/>
              <w:adjustRightInd w:val="0"/>
              <w:spacing w:after="0" w:line="276" w:lineRule="auto"/>
              <w:jc w:val="left"/>
              <w:rPr>
                <w:rFonts w:eastAsia="Calibri"/>
                <w:b/>
                <w:bCs/>
                <w:sz w:val="18"/>
                <w:szCs w:val="18"/>
              </w:rPr>
            </w:pPr>
            <w:r w:rsidRPr="00F4203D">
              <w:rPr>
                <w:sz w:val="18"/>
                <w:szCs w:val="18"/>
              </w:rPr>
              <w:t xml:space="preserve">Broad-based stakeholder participation in the development of the energy sector policy and </w:t>
            </w:r>
            <w:r w:rsidRPr="00F4203D">
              <w:rPr>
                <w:sz w:val="18"/>
                <w:szCs w:val="18"/>
              </w:rPr>
              <w:lastRenderedPageBreak/>
              <w:t>regulatory framework is established</w:t>
            </w:r>
          </w:p>
        </w:tc>
        <w:tc>
          <w:tcPr>
            <w:tcW w:w="0" w:type="auto"/>
            <w:tcBorders>
              <w:top w:val="single" w:sz="4" w:space="0" w:color="auto"/>
              <w:left w:val="single" w:sz="4" w:space="0" w:color="auto"/>
              <w:bottom w:val="single" w:sz="4" w:space="0" w:color="auto"/>
              <w:right w:val="single" w:sz="4" w:space="0" w:color="auto"/>
            </w:tcBorders>
          </w:tcPr>
          <w:p w14:paraId="46547CE4" w14:textId="77777777" w:rsidR="005B54DB" w:rsidRDefault="005B54DB" w:rsidP="005B54DB">
            <w:pPr>
              <w:autoSpaceDE w:val="0"/>
              <w:autoSpaceDN w:val="0"/>
              <w:adjustRightInd w:val="0"/>
              <w:spacing w:before="100" w:beforeAutospacing="1" w:afterAutospacing="1" w:line="276" w:lineRule="auto"/>
              <w:jc w:val="left"/>
              <w:rPr>
                <w:sz w:val="18"/>
                <w:szCs w:val="18"/>
              </w:rPr>
            </w:pPr>
            <w:r>
              <w:rPr>
                <w:sz w:val="18"/>
                <w:szCs w:val="18"/>
              </w:rPr>
              <w:lastRenderedPageBreak/>
              <w:t>1.1 Extent to which mechanism for coordination, collaboration and dialogue among different actors involved in the energy sector is effective.</w:t>
            </w:r>
          </w:p>
          <w:p w14:paraId="13101226" w14:textId="77777777" w:rsidR="00ED5405" w:rsidRPr="00ED5405" w:rsidRDefault="00ED5405" w:rsidP="002217C7">
            <w:pPr>
              <w:rPr>
                <w:sz w:val="18"/>
                <w:szCs w:val="18"/>
              </w:rPr>
            </w:pPr>
          </w:p>
          <w:p w14:paraId="7BA89396" w14:textId="796D0420" w:rsidR="00ED5405" w:rsidRPr="00ED5405" w:rsidRDefault="00ED5405" w:rsidP="002217C7">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D32DEA0" w14:textId="639C8EA9" w:rsidR="005B54DB" w:rsidRPr="002B76D4" w:rsidRDefault="005B54DB" w:rsidP="002217C7">
            <w:pPr>
              <w:spacing w:after="0" w:line="276" w:lineRule="auto"/>
              <w:ind w:left="-68"/>
              <w:jc w:val="center"/>
              <w:rPr>
                <w:color w:val="FF0000"/>
                <w:sz w:val="18"/>
                <w:szCs w:val="18"/>
              </w:rPr>
            </w:pPr>
            <w:r>
              <w:rPr>
                <w:color w:val="FF0000"/>
                <w:sz w:val="18"/>
                <w:szCs w:val="18"/>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17CA3228" w14:textId="0A7AB8D1" w:rsidR="005B54DB" w:rsidRDefault="005B54DB" w:rsidP="005B54DB">
            <w:pPr>
              <w:spacing w:after="0" w:line="276" w:lineRule="auto"/>
              <w:jc w:val="left"/>
              <w:rPr>
                <w:sz w:val="18"/>
                <w:szCs w:val="18"/>
              </w:rPr>
            </w:pPr>
            <w:r>
              <w:rPr>
                <w:sz w:val="18"/>
                <w:szCs w:val="18"/>
              </w:rPr>
              <w:t>To be defined by baseline survey</w:t>
            </w:r>
          </w:p>
          <w:p w14:paraId="739360C9" w14:textId="42F2F495" w:rsidR="005B54DB" w:rsidRDefault="005B54DB" w:rsidP="005B54DB">
            <w:pPr>
              <w:spacing w:after="0" w:line="276" w:lineRule="auto"/>
              <w:jc w:val="left"/>
              <w:rPr>
                <w:sz w:val="18"/>
                <w:szCs w:val="18"/>
              </w:rPr>
            </w:pPr>
            <w:r>
              <w:rPr>
                <w:sz w:val="18"/>
                <w:szCs w:val="18"/>
              </w:rPr>
              <w:t xml:space="preserve">(2020) </w:t>
            </w:r>
          </w:p>
        </w:tc>
        <w:tc>
          <w:tcPr>
            <w:tcW w:w="0" w:type="auto"/>
            <w:tcBorders>
              <w:top w:val="single" w:sz="4" w:space="0" w:color="auto"/>
              <w:left w:val="single" w:sz="4" w:space="0" w:color="auto"/>
              <w:bottom w:val="single" w:sz="4" w:space="0" w:color="auto"/>
              <w:right w:val="single" w:sz="4" w:space="0" w:color="auto"/>
            </w:tcBorders>
          </w:tcPr>
          <w:p w14:paraId="77F4F5DA" w14:textId="6C842ABC" w:rsidR="005B54DB" w:rsidRDefault="005B54DB" w:rsidP="005B54DB">
            <w:pPr>
              <w:spacing w:afterLines="60" w:after="144" w:line="276" w:lineRule="auto"/>
              <w:jc w:val="left"/>
              <w:rPr>
                <w:sz w:val="18"/>
                <w:szCs w:val="18"/>
              </w:rPr>
            </w:pPr>
            <w:r>
              <w:rPr>
                <w:sz w:val="18"/>
                <w:szCs w:val="18"/>
              </w:rPr>
              <w:t xml:space="preserve">To significant extent (2027) </w:t>
            </w:r>
          </w:p>
        </w:tc>
        <w:tc>
          <w:tcPr>
            <w:tcW w:w="0" w:type="auto"/>
            <w:tcBorders>
              <w:top w:val="single" w:sz="4" w:space="0" w:color="auto"/>
              <w:left w:val="single" w:sz="4" w:space="0" w:color="auto"/>
              <w:bottom w:val="single" w:sz="4" w:space="0" w:color="auto"/>
              <w:right w:val="single" w:sz="4" w:space="0" w:color="auto"/>
            </w:tcBorders>
          </w:tcPr>
          <w:p w14:paraId="2CA67095" w14:textId="57D4A228" w:rsidR="005B54DB" w:rsidRDefault="005B54DB" w:rsidP="005B54DB">
            <w:pPr>
              <w:autoSpaceDE w:val="0"/>
              <w:autoSpaceDN w:val="0"/>
              <w:adjustRightInd w:val="0"/>
              <w:spacing w:afterLines="60" w:after="144" w:line="276" w:lineRule="auto"/>
              <w:jc w:val="left"/>
              <w:rPr>
                <w:sz w:val="18"/>
                <w:szCs w:val="18"/>
              </w:rPr>
            </w:pPr>
            <w:r>
              <w:rPr>
                <w:sz w:val="18"/>
                <w:szCs w:val="18"/>
              </w:rPr>
              <w:t>Stakeholder surveys including government bodies, donors, private sector, CSOs, academia.</w:t>
            </w:r>
          </w:p>
          <w:p w14:paraId="0B88AFB3" w14:textId="5033E184" w:rsidR="005B54DB" w:rsidRDefault="005B54DB" w:rsidP="005B54DB">
            <w:pPr>
              <w:autoSpaceDE w:val="0"/>
              <w:autoSpaceDN w:val="0"/>
              <w:adjustRightInd w:val="0"/>
              <w:spacing w:afterLines="60" w:after="144" w:line="276" w:lineRule="auto"/>
              <w:jc w:val="left"/>
              <w:rPr>
                <w:sz w:val="18"/>
                <w:szCs w:val="18"/>
              </w:rPr>
            </w:pPr>
            <w:r>
              <w:rPr>
                <w:sz w:val="18"/>
                <w:szCs w:val="18"/>
              </w:rPr>
              <w:lastRenderedPageBreak/>
              <w:t>Surveys to be designed and conducted by Technical Assistance</w:t>
            </w:r>
          </w:p>
        </w:tc>
        <w:tc>
          <w:tcPr>
            <w:tcW w:w="0" w:type="auto"/>
            <w:tcBorders>
              <w:top w:val="single" w:sz="4" w:space="0" w:color="auto"/>
              <w:left w:val="single" w:sz="4" w:space="0" w:color="auto"/>
              <w:bottom w:val="single" w:sz="4" w:space="0" w:color="auto"/>
              <w:right w:val="single" w:sz="4" w:space="0" w:color="auto"/>
            </w:tcBorders>
          </w:tcPr>
          <w:p w14:paraId="15C9111D" w14:textId="2E758B3C" w:rsidR="005B54DB" w:rsidRDefault="005B54DB" w:rsidP="005B54DB">
            <w:pPr>
              <w:autoSpaceDE w:val="0"/>
              <w:autoSpaceDN w:val="0"/>
              <w:adjustRightInd w:val="0"/>
              <w:spacing w:afterLines="60" w:after="144" w:line="276" w:lineRule="auto"/>
              <w:jc w:val="left"/>
              <w:rPr>
                <w:sz w:val="18"/>
                <w:szCs w:val="18"/>
              </w:rPr>
            </w:pPr>
            <w:r>
              <w:rPr>
                <w:sz w:val="18"/>
                <w:szCs w:val="18"/>
              </w:rPr>
              <w:lastRenderedPageBreak/>
              <w:t>Ministry of Energy is committed to wide stakeholder consultation and sector coordination.</w:t>
            </w:r>
          </w:p>
        </w:tc>
      </w:tr>
      <w:tr w:rsidR="00F4203D" w14:paraId="22F4BF44" w14:textId="77777777" w:rsidTr="001D121C">
        <w:trPr>
          <w:trHeight w:val="636"/>
          <w:jc w:val="center"/>
        </w:trPr>
        <w:tc>
          <w:tcPr>
            <w:tcW w:w="0" w:type="auto"/>
            <w:vMerge/>
            <w:tcBorders>
              <w:left w:val="single" w:sz="4" w:space="0" w:color="auto"/>
              <w:right w:val="single" w:sz="4" w:space="0" w:color="auto"/>
            </w:tcBorders>
            <w:shd w:val="clear" w:color="auto" w:fill="D9D9D9"/>
            <w:textDirection w:val="btLr"/>
            <w:hideMark/>
          </w:tcPr>
          <w:p w14:paraId="47E981B1" w14:textId="22F5D311" w:rsidR="00F4203D" w:rsidRDefault="00F4203D" w:rsidP="00AE4FA0">
            <w:pPr>
              <w:tabs>
                <w:tab w:val="left" w:pos="0"/>
                <w:tab w:val="left" w:pos="132"/>
              </w:tabs>
              <w:spacing w:afterLines="60" w:after="144" w:line="276" w:lineRule="auto"/>
              <w:ind w:left="113" w:right="113" w:hanging="101"/>
              <w:jc w:val="center"/>
              <w:rPr>
                <w:b/>
                <w:i/>
                <w:sz w:val="18"/>
                <w:szCs w:val="18"/>
              </w:rPr>
            </w:pPr>
          </w:p>
        </w:tc>
        <w:tc>
          <w:tcPr>
            <w:tcW w:w="0" w:type="auto"/>
            <w:vMerge w:val="restart"/>
            <w:tcBorders>
              <w:top w:val="single" w:sz="4" w:space="0" w:color="auto"/>
              <w:left w:val="single" w:sz="4" w:space="0" w:color="auto"/>
              <w:right w:val="single" w:sz="4" w:space="0" w:color="auto"/>
            </w:tcBorders>
            <w:hideMark/>
          </w:tcPr>
          <w:p w14:paraId="58C26AD4" w14:textId="76470A59" w:rsidR="00160AD1" w:rsidRPr="00160AD1" w:rsidRDefault="00160AD1" w:rsidP="00AE4FA0">
            <w:pPr>
              <w:autoSpaceDE w:val="0"/>
              <w:autoSpaceDN w:val="0"/>
              <w:adjustRightInd w:val="0"/>
              <w:spacing w:afterLines="60" w:after="144" w:line="276" w:lineRule="auto"/>
              <w:jc w:val="left"/>
              <w:rPr>
                <w:rFonts w:eastAsia="Calibri"/>
                <w:b/>
                <w:bCs/>
                <w:sz w:val="18"/>
                <w:szCs w:val="18"/>
              </w:rPr>
            </w:pPr>
            <w:r w:rsidRPr="00160AD1">
              <w:rPr>
                <w:rFonts w:eastAsia="Calibri"/>
                <w:b/>
                <w:bCs/>
                <w:sz w:val="18"/>
                <w:szCs w:val="18"/>
              </w:rPr>
              <w:t>Outcome 2</w:t>
            </w:r>
          </w:p>
          <w:p w14:paraId="03248751" w14:textId="162D0917" w:rsidR="00F4203D" w:rsidRDefault="00F4203D" w:rsidP="00AE4FA0">
            <w:pPr>
              <w:autoSpaceDE w:val="0"/>
              <w:autoSpaceDN w:val="0"/>
              <w:adjustRightInd w:val="0"/>
              <w:spacing w:afterLines="60" w:after="144" w:line="276" w:lineRule="auto"/>
              <w:jc w:val="left"/>
              <w:rPr>
                <w:rFonts w:eastAsia="Calibri"/>
                <w:sz w:val="18"/>
                <w:szCs w:val="18"/>
              </w:rPr>
            </w:pPr>
            <w:r>
              <w:rPr>
                <w:rFonts w:eastAsia="Calibri"/>
                <w:sz w:val="18"/>
                <w:szCs w:val="18"/>
              </w:rPr>
              <w:t>Policy implementation in three policy priority areas is improved (new electricity generation, liquefied petroleum gas, rural electrification)</w:t>
            </w:r>
          </w:p>
          <w:p w14:paraId="67C0BBF1" w14:textId="30E998EC" w:rsidR="00F4203D" w:rsidRPr="00AE4FA0" w:rsidRDefault="00F4203D" w:rsidP="002D6E51">
            <w:pPr>
              <w:spacing w:afterAutospacing="1" w:line="276" w:lineRule="auto"/>
              <w:jc w:val="left"/>
              <w:rPr>
                <w:rFonts w:eastAsia="Times New Roman"/>
                <w:b/>
                <w:bCs/>
                <w:sz w:val="18"/>
                <w:szCs w:val="18"/>
              </w:rPr>
            </w:pPr>
            <w:r w:rsidRPr="002D6E51">
              <w:rPr>
                <w:color w:val="00B050"/>
                <w:sz w:val="18"/>
                <w:szCs w:val="18"/>
              </w:rPr>
              <w:t>[FNLC outcome]</w:t>
            </w:r>
          </w:p>
        </w:tc>
        <w:tc>
          <w:tcPr>
            <w:tcW w:w="0" w:type="auto"/>
            <w:tcBorders>
              <w:top w:val="single" w:sz="4" w:space="0" w:color="auto"/>
              <w:left w:val="single" w:sz="4" w:space="0" w:color="auto"/>
              <w:bottom w:val="single" w:sz="4" w:space="0" w:color="auto"/>
              <w:right w:val="single" w:sz="4" w:space="0" w:color="auto"/>
            </w:tcBorders>
            <w:hideMark/>
          </w:tcPr>
          <w:p w14:paraId="67F6F5F9" w14:textId="71C76ECC" w:rsidR="00F4203D" w:rsidRDefault="005B54DB" w:rsidP="00AE4FA0">
            <w:pPr>
              <w:autoSpaceDE w:val="0"/>
              <w:autoSpaceDN w:val="0"/>
              <w:adjustRightInd w:val="0"/>
              <w:spacing w:before="100" w:beforeAutospacing="1" w:afterAutospacing="1" w:line="276" w:lineRule="auto"/>
              <w:jc w:val="left"/>
              <w:rPr>
                <w:sz w:val="18"/>
                <w:szCs w:val="18"/>
              </w:rPr>
            </w:pPr>
            <w:r>
              <w:rPr>
                <w:sz w:val="18"/>
                <w:szCs w:val="18"/>
              </w:rPr>
              <w:t>2</w:t>
            </w:r>
            <w:r w:rsidR="00F4203D">
              <w:rPr>
                <w:sz w:val="18"/>
                <w:szCs w:val="18"/>
              </w:rPr>
              <w:t>.1 Extent to which there is a positive change towards a transparent procurement process for new Renewable Energy generation from Independent from Power Producers (IPPs). in accordance with Policy</w:t>
            </w:r>
            <w:r w:rsidR="00F4203D">
              <w:t xml:space="preserve"> </w:t>
            </w:r>
            <w:r w:rsidR="00F4203D">
              <w:rPr>
                <w:sz w:val="18"/>
                <w:szCs w:val="18"/>
              </w:rPr>
              <w:t>Priority Electricity Generation.</w:t>
            </w:r>
          </w:p>
        </w:tc>
        <w:tc>
          <w:tcPr>
            <w:tcW w:w="0" w:type="auto"/>
            <w:tcBorders>
              <w:top w:val="single" w:sz="4" w:space="0" w:color="auto"/>
              <w:left w:val="single" w:sz="4" w:space="0" w:color="auto"/>
              <w:bottom w:val="single" w:sz="4" w:space="0" w:color="auto"/>
              <w:right w:val="single" w:sz="4" w:space="0" w:color="auto"/>
            </w:tcBorders>
          </w:tcPr>
          <w:p w14:paraId="7111D2B3" w14:textId="6C8D0938" w:rsidR="00F4203D" w:rsidRPr="002B76D4" w:rsidRDefault="00F4203D" w:rsidP="0032645C">
            <w:pPr>
              <w:spacing w:after="0" w:line="276" w:lineRule="auto"/>
              <w:jc w:val="center"/>
              <w:rPr>
                <w:color w:val="FF0000"/>
                <w:sz w:val="18"/>
                <w:szCs w:val="18"/>
              </w:rPr>
            </w:pPr>
            <w:r w:rsidRPr="002B76D4">
              <w:rPr>
                <w:color w:val="FF0000"/>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0994EA6" w14:textId="20FD3574" w:rsidR="00F4203D" w:rsidRDefault="00F4203D" w:rsidP="00AE4FA0">
            <w:pPr>
              <w:spacing w:after="0" w:line="276" w:lineRule="auto"/>
              <w:jc w:val="left"/>
              <w:rPr>
                <w:sz w:val="18"/>
                <w:szCs w:val="18"/>
              </w:rPr>
            </w:pPr>
            <w:r>
              <w:rPr>
                <w:sz w:val="18"/>
                <w:szCs w:val="18"/>
              </w:rPr>
              <w:t>To limited extent (2021)</w:t>
            </w:r>
          </w:p>
        </w:tc>
        <w:tc>
          <w:tcPr>
            <w:tcW w:w="0" w:type="auto"/>
            <w:tcBorders>
              <w:top w:val="single" w:sz="4" w:space="0" w:color="auto"/>
              <w:left w:val="single" w:sz="4" w:space="0" w:color="auto"/>
              <w:bottom w:val="single" w:sz="4" w:space="0" w:color="auto"/>
              <w:right w:val="single" w:sz="4" w:space="0" w:color="auto"/>
            </w:tcBorders>
            <w:hideMark/>
          </w:tcPr>
          <w:p w14:paraId="046B05BC" w14:textId="7270D60A" w:rsidR="00F4203D" w:rsidRDefault="00F4203D" w:rsidP="00AE4FA0">
            <w:pPr>
              <w:spacing w:afterLines="60" w:after="144" w:line="276" w:lineRule="auto"/>
              <w:jc w:val="left"/>
              <w:rPr>
                <w:sz w:val="18"/>
                <w:szCs w:val="18"/>
              </w:rPr>
            </w:pPr>
            <w:r>
              <w:rPr>
                <w:sz w:val="18"/>
                <w:szCs w:val="18"/>
              </w:rPr>
              <w:t>To full extent (2027)</w:t>
            </w:r>
          </w:p>
        </w:tc>
        <w:tc>
          <w:tcPr>
            <w:tcW w:w="0" w:type="auto"/>
            <w:tcBorders>
              <w:top w:val="single" w:sz="4" w:space="0" w:color="auto"/>
              <w:left w:val="single" w:sz="4" w:space="0" w:color="auto"/>
              <w:bottom w:val="single" w:sz="4" w:space="0" w:color="auto"/>
              <w:right w:val="single" w:sz="4" w:space="0" w:color="auto"/>
            </w:tcBorders>
          </w:tcPr>
          <w:p w14:paraId="0E57ACBC" w14:textId="6DD03285" w:rsidR="00F4203D" w:rsidRDefault="00F4203D" w:rsidP="00AE4FA0">
            <w:pPr>
              <w:autoSpaceDE w:val="0"/>
              <w:autoSpaceDN w:val="0"/>
              <w:adjustRightInd w:val="0"/>
              <w:spacing w:afterLines="60" w:after="144" w:line="276" w:lineRule="auto"/>
              <w:jc w:val="left"/>
              <w:rPr>
                <w:sz w:val="18"/>
                <w:szCs w:val="18"/>
              </w:rPr>
            </w:pPr>
            <w:r>
              <w:rPr>
                <w:sz w:val="18"/>
                <w:szCs w:val="18"/>
              </w:rPr>
              <w:t>Project reports.</w:t>
            </w:r>
          </w:p>
          <w:p w14:paraId="50F0E823" w14:textId="129B8FC5" w:rsidR="00F4203D" w:rsidRDefault="00F4203D" w:rsidP="00AE4FA0">
            <w:pPr>
              <w:autoSpaceDE w:val="0"/>
              <w:autoSpaceDN w:val="0"/>
              <w:adjustRightInd w:val="0"/>
              <w:spacing w:afterLines="60" w:after="144" w:line="276" w:lineRule="auto"/>
              <w:jc w:val="left"/>
              <w:rPr>
                <w:sz w:val="18"/>
                <w:szCs w:val="18"/>
              </w:rPr>
            </w:pPr>
            <w:r>
              <w:rPr>
                <w:sz w:val="18"/>
                <w:szCs w:val="18"/>
              </w:rPr>
              <w:t>Assessment by independent experts</w:t>
            </w:r>
          </w:p>
        </w:tc>
        <w:tc>
          <w:tcPr>
            <w:tcW w:w="0" w:type="auto"/>
            <w:tcBorders>
              <w:top w:val="single" w:sz="4" w:space="0" w:color="auto"/>
              <w:left w:val="single" w:sz="4" w:space="0" w:color="auto"/>
              <w:bottom w:val="single" w:sz="4" w:space="0" w:color="auto"/>
              <w:right w:val="single" w:sz="4" w:space="0" w:color="auto"/>
            </w:tcBorders>
            <w:hideMark/>
          </w:tcPr>
          <w:p w14:paraId="45066F9D" w14:textId="4B36FF0E" w:rsidR="00F4203D" w:rsidRDefault="00385929" w:rsidP="00AE4FA0">
            <w:pPr>
              <w:autoSpaceDE w:val="0"/>
              <w:autoSpaceDN w:val="0"/>
              <w:adjustRightInd w:val="0"/>
              <w:spacing w:afterLines="60" w:after="144" w:line="276" w:lineRule="auto"/>
              <w:jc w:val="left"/>
              <w:rPr>
                <w:sz w:val="18"/>
                <w:szCs w:val="18"/>
              </w:rPr>
            </w:pPr>
            <w:r>
              <w:rPr>
                <w:sz w:val="18"/>
                <w:szCs w:val="18"/>
              </w:rPr>
              <w:t>Government is committed to a transparent process leading to a longer-term behavioural change</w:t>
            </w:r>
          </w:p>
        </w:tc>
      </w:tr>
      <w:tr w:rsidR="00F4203D" w14:paraId="77A7E12A" w14:textId="77777777" w:rsidTr="001D121C">
        <w:trPr>
          <w:trHeight w:val="425"/>
          <w:jc w:val="center"/>
        </w:trPr>
        <w:tc>
          <w:tcPr>
            <w:tcW w:w="0" w:type="auto"/>
            <w:vMerge/>
            <w:tcBorders>
              <w:left w:val="single" w:sz="4" w:space="0" w:color="auto"/>
              <w:bottom w:val="single" w:sz="4" w:space="0" w:color="auto"/>
              <w:right w:val="single" w:sz="4" w:space="0" w:color="auto"/>
            </w:tcBorders>
            <w:hideMark/>
          </w:tcPr>
          <w:p w14:paraId="225A5664" w14:textId="77777777" w:rsidR="00F4203D" w:rsidRDefault="00F4203D" w:rsidP="00AE4FA0">
            <w:pPr>
              <w:spacing w:after="0" w:line="276" w:lineRule="auto"/>
              <w:jc w:val="left"/>
              <w:rPr>
                <w:rFonts w:eastAsia="Times New Roman" w:cs="Times New Roman"/>
                <w:b/>
                <w:i/>
                <w:sz w:val="18"/>
                <w:szCs w:val="18"/>
              </w:rPr>
            </w:pPr>
          </w:p>
        </w:tc>
        <w:tc>
          <w:tcPr>
            <w:tcW w:w="0" w:type="auto"/>
            <w:vMerge/>
            <w:tcBorders>
              <w:left w:val="single" w:sz="4" w:space="0" w:color="auto"/>
              <w:right w:val="single" w:sz="4" w:space="0" w:color="auto"/>
            </w:tcBorders>
          </w:tcPr>
          <w:p w14:paraId="79FA28A8" w14:textId="0A56AD8D" w:rsidR="00F4203D" w:rsidRDefault="00F4203D" w:rsidP="00AE4FA0">
            <w:pPr>
              <w:autoSpaceDE w:val="0"/>
              <w:autoSpaceDN w:val="0"/>
              <w:adjustRightInd w:val="0"/>
              <w:spacing w:afterLines="60" w:after="144" w:line="276" w:lineRule="auto"/>
              <w:jc w:val="left"/>
              <w:rPr>
                <w:rFonts w:eastAsia="Calibri"/>
                <w:sz w:val="18"/>
                <w:szCs w:val="18"/>
              </w:rPr>
            </w:pPr>
          </w:p>
        </w:tc>
        <w:tc>
          <w:tcPr>
            <w:tcW w:w="0" w:type="auto"/>
            <w:tcBorders>
              <w:top w:val="single" w:sz="4" w:space="0" w:color="auto"/>
              <w:left w:val="single" w:sz="4" w:space="0" w:color="auto"/>
              <w:bottom w:val="single" w:sz="4" w:space="0" w:color="auto"/>
              <w:right w:val="single" w:sz="4" w:space="0" w:color="auto"/>
            </w:tcBorders>
          </w:tcPr>
          <w:p w14:paraId="0CF6B529" w14:textId="055D44F6" w:rsidR="00F4203D" w:rsidRDefault="0074432C" w:rsidP="001A6A31">
            <w:pPr>
              <w:tabs>
                <w:tab w:val="left" w:pos="0"/>
                <w:tab w:val="left" w:pos="132"/>
              </w:tabs>
              <w:spacing w:after="0" w:line="276" w:lineRule="auto"/>
              <w:jc w:val="left"/>
              <w:rPr>
                <w:rFonts w:eastAsia="Times New Roman"/>
                <w:strike/>
                <w:sz w:val="18"/>
                <w:szCs w:val="18"/>
              </w:rPr>
            </w:pPr>
            <w:r>
              <w:rPr>
                <w:sz w:val="18"/>
                <w:szCs w:val="18"/>
              </w:rPr>
              <w:t>2</w:t>
            </w:r>
            <w:r w:rsidR="00F4203D">
              <w:rPr>
                <w:sz w:val="18"/>
                <w:szCs w:val="18"/>
              </w:rPr>
              <w:t>.2 Number of households provided with access to clean cooking and fuel</w:t>
            </w:r>
          </w:p>
        </w:tc>
        <w:tc>
          <w:tcPr>
            <w:tcW w:w="0" w:type="auto"/>
            <w:tcBorders>
              <w:top w:val="single" w:sz="4" w:space="0" w:color="auto"/>
              <w:left w:val="single" w:sz="4" w:space="0" w:color="auto"/>
              <w:bottom w:val="single" w:sz="4" w:space="0" w:color="auto"/>
              <w:right w:val="single" w:sz="4" w:space="0" w:color="auto"/>
            </w:tcBorders>
          </w:tcPr>
          <w:p w14:paraId="7B693A53" w14:textId="2F613BF8" w:rsidR="00F4203D" w:rsidRPr="002B76D4" w:rsidRDefault="00F4203D" w:rsidP="0032645C">
            <w:pPr>
              <w:spacing w:afterAutospacing="1" w:line="276" w:lineRule="auto"/>
              <w:jc w:val="center"/>
              <w:rPr>
                <w:color w:val="00B050"/>
                <w:sz w:val="18"/>
                <w:szCs w:val="18"/>
              </w:rPr>
            </w:pPr>
            <w:r w:rsidRPr="002B76D4">
              <w:rPr>
                <w:color w:val="00B05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F90B0BF" w14:textId="1A024D3B" w:rsidR="00F4203D" w:rsidRDefault="00F4203D" w:rsidP="00FF24D8">
            <w:pPr>
              <w:spacing w:after="0" w:line="276" w:lineRule="auto"/>
              <w:jc w:val="left"/>
              <w:rPr>
                <w:sz w:val="18"/>
                <w:szCs w:val="18"/>
              </w:rPr>
            </w:pPr>
            <w:r>
              <w:rPr>
                <w:sz w:val="18"/>
                <w:szCs w:val="18"/>
              </w:rPr>
              <w:t>0 (2024)</w:t>
            </w:r>
          </w:p>
        </w:tc>
        <w:tc>
          <w:tcPr>
            <w:tcW w:w="0" w:type="auto"/>
            <w:tcBorders>
              <w:top w:val="single" w:sz="4" w:space="0" w:color="auto"/>
              <w:left w:val="single" w:sz="4" w:space="0" w:color="auto"/>
              <w:bottom w:val="single" w:sz="4" w:space="0" w:color="auto"/>
              <w:right w:val="single" w:sz="4" w:space="0" w:color="auto"/>
            </w:tcBorders>
          </w:tcPr>
          <w:p w14:paraId="1CD97AD6" w14:textId="4AB17D17" w:rsidR="00F4203D" w:rsidRDefault="00F4203D" w:rsidP="00AE4FA0">
            <w:pPr>
              <w:autoSpaceDE w:val="0"/>
              <w:autoSpaceDN w:val="0"/>
              <w:adjustRightInd w:val="0"/>
              <w:spacing w:after="0" w:line="276" w:lineRule="auto"/>
              <w:jc w:val="left"/>
              <w:rPr>
                <w:sz w:val="18"/>
                <w:szCs w:val="18"/>
              </w:rPr>
            </w:pPr>
            <w:r>
              <w:rPr>
                <w:sz w:val="18"/>
                <w:szCs w:val="18"/>
              </w:rPr>
              <w:t>3</w:t>
            </w:r>
            <w:r w:rsidR="008B4091">
              <w:rPr>
                <w:sz w:val="18"/>
                <w:szCs w:val="18"/>
              </w:rPr>
              <w:t xml:space="preserve"> </w:t>
            </w:r>
            <w:r>
              <w:rPr>
                <w:sz w:val="18"/>
                <w:szCs w:val="18"/>
              </w:rPr>
              <w:t>000 (2027)</w:t>
            </w:r>
          </w:p>
        </w:tc>
        <w:tc>
          <w:tcPr>
            <w:tcW w:w="0" w:type="auto"/>
            <w:tcBorders>
              <w:top w:val="single" w:sz="4" w:space="0" w:color="auto"/>
              <w:left w:val="single" w:sz="4" w:space="0" w:color="auto"/>
              <w:bottom w:val="single" w:sz="4" w:space="0" w:color="auto"/>
              <w:right w:val="single" w:sz="4" w:space="0" w:color="auto"/>
            </w:tcBorders>
          </w:tcPr>
          <w:p w14:paraId="047A0DFA" w14:textId="77777777" w:rsidR="00244FAB" w:rsidRDefault="00F4203D" w:rsidP="00342E2A">
            <w:pPr>
              <w:autoSpaceDE w:val="0"/>
              <w:autoSpaceDN w:val="0"/>
              <w:adjustRightInd w:val="0"/>
              <w:spacing w:afterLines="60" w:after="144" w:line="276" w:lineRule="auto"/>
              <w:jc w:val="left"/>
              <w:rPr>
                <w:sz w:val="18"/>
                <w:szCs w:val="18"/>
              </w:rPr>
            </w:pPr>
            <w:r>
              <w:rPr>
                <w:sz w:val="18"/>
                <w:szCs w:val="18"/>
              </w:rPr>
              <w:t xml:space="preserve">Reports from Ministry of Energy (including disaggregated data by gender). </w:t>
            </w:r>
          </w:p>
          <w:p w14:paraId="7E24278D" w14:textId="77777777" w:rsidR="00F4203D" w:rsidRDefault="00F4203D" w:rsidP="00342E2A">
            <w:pPr>
              <w:autoSpaceDE w:val="0"/>
              <w:autoSpaceDN w:val="0"/>
              <w:adjustRightInd w:val="0"/>
              <w:spacing w:afterLines="60" w:after="144" w:line="276" w:lineRule="auto"/>
              <w:jc w:val="left"/>
              <w:rPr>
                <w:sz w:val="18"/>
                <w:szCs w:val="18"/>
              </w:rPr>
            </w:pPr>
            <w:r>
              <w:rPr>
                <w:sz w:val="18"/>
                <w:szCs w:val="18"/>
              </w:rPr>
              <w:t>Reports from private sector Liquefied Petroleum Gas (LPG) distributors/providers. Importation and distribution records of bottles.</w:t>
            </w:r>
          </w:p>
          <w:p w14:paraId="5E26F175" w14:textId="09AB9CD5" w:rsidR="00A6568E" w:rsidRDefault="00A6568E" w:rsidP="00342E2A">
            <w:pPr>
              <w:autoSpaceDE w:val="0"/>
              <w:autoSpaceDN w:val="0"/>
              <w:adjustRightInd w:val="0"/>
              <w:spacing w:afterLines="60" w:after="144" w:line="276" w:lineRule="auto"/>
              <w:jc w:val="left"/>
              <w:rPr>
                <w:sz w:val="18"/>
                <w:szCs w:val="18"/>
              </w:rPr>
            </w:pPr>
            <w:r>
              <w:rPr>
                <w:sz w:val="18"/>
                <w:szCs w:val="18"/>
              </w:rPr>
              <w:t xml:space="preserve">Appendix 4 for </w:t>
            </w:r>
            <w:r>
              <w:rPr>
                <w:iCs/>
                <w:sz w:val="18"/>
                <w:szCs w:val="18"/>
              </w:rPr>
              <w:t>technical specifications/standards</w:t>
            </w:r>
          </w:p>
        </w:tc>
        <w:tc>
          <w:tcPr>
            <w:tcW w:w="0" w:type="auto"/>
            <w:tcBorders>
              <w:top w:val="single" w:sz="4" w:space="0" w:color="auto"/>
              <w:left w:val="single" w:sz="4" w:space="0" w:color="auto"/>
              <w:bottom w:val="single" w:sz="4" w:space="0" w:color="auto"/>
              <w:right w:val="single" w:sz="4" w:space="0" w:color="auto"/>
            </w:tcBorders>
          </w:tcPr>
          <w:p w14:paraId="170A0D2B" w14:textId="6D4F3EDA" w:rsidR="00F4203D" w:rsidRDefault="00F4203D" w:rsidP="00342E2A">
            <w:pPr>
              <w:spacing w:before="120" w:line="276" w:lineRule="auto"/>
              <w:rPr>
                <w:sz w:val="18"/>
                <w:szCs w:val="18"/>
              </w:rPr>
            </w:pPr>
            <w:r>
              <w:rPr>
                <w:sz w:val="18"/>
                <w:szCs w:val="18"/>
              </w:rPr>
              <w:t>Target beneficiaries are willing to switch from charcoal to Liquefied Petroleum Gas (LPG) bringing about positive behavioural change.</w:t>
            </w:r>
          </w:p>
        </w:tc>
      </w:tr>
      <w:tr w:rsidR="00411A5F" w14:paraId="4D2FF8CE" w14:textId="77777777" w:rsidTr="00AE4FA0">
        <w:trPr>
          <w:trHeight w:val="166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extDirection w:val="btLr"/>
            <w:hideMark/>
          </w:tcPr>
          <w:p w14:paraId="2572B4D5" w14:textId="77777777" w:rsidR="00AE4FA0" w:rsidRDefault="00AE4FA0">
            <w:pPr>
              <w:tabs>
                <w:tab w:val="left" w:pos="0"/>
                <w:tab w:val="left" w:pos="132"/>
              </w:tabs>
              <w:spacing w:afterLines="60" w:after="144" w:line="276" w:lineRule="auto"/>
              <w:ind w:left="113" w:right="113" w:hanging="101"/>
              <w:jc w:val="center"/>
              <w:rPr>
                <w:b/>
                <w:i/>
                <w:sz w:val="18"/>
                <w:szCs w:val="18"/>
              </w:rPr>
            </w:pPr>
            <w:r>
              <w:rPr>
                <w:b/>
                <w:i/>
                <w:sz w:val="18"/>
                <w:szCs w:val="18"/>
              </w:rPr>
              <w:t>Outputs</w:t>
            </w:r>
          </w:p>
        </w:tc>
        <w:tc>
          <w:tcPr>
            <w:tcW w:w="0" w:type="auto"/>
            <w:tcBorders>
              <w:top w:val="single" w:sz="4" w:space="0" w:color="auto"/>
              <w:left w:val="single" w:sz="4" w:space="0" w:color="auto"/>
              <w:bottom w:val="single" w:sz="4" w:space="0" w:color="auto"/>
              <w:right w:val="single" w:sz="4" w:space="0" w:color="auto"/>
            </w:tcBorders>
          </w:tcPr>
          <w:p w14:paraId="3C901596" w14:textId="3479AB1E" w:rsidR="00AE4FA0" w:rsidRDefault="00AE4FA0">
            <w:pPr>
              <w:autoSpaceDE w:val="0"/>
              <w:autoSpaceDN w:val="0"/>
              <w:adjustRightInd w:val="0"/>
              <w:spacing w:after="0" w:line="276" w:lineRule="auto"/>
              <w:rPr>
                <w:rFonts w:eastAsia="Calibri"/>
                <w:sz w:val="18"/>
                <w:szCs w:val="18"/>
              </w:rPr>
            </w:pPr>
            <w:r>
              <w:rPr>
                <w:rFonts w:eastAsia="Calibri"/>
                <w:sz w:val="18"/>
                <w:szCs w:val="18"/>
              </w:rPr>
              <w:t>Output 1 related to Outcome 1</w:t>
            </w:r>
          </w:p>
          <w:p w14:paraId="45CC3CA5" w14:textId="36D7B56F" w:rsidR="00D91B34" w:rsidRPr="00D91B34" w:rsidRDefault="00D91B34">
            <w:pPr>
              <w:autoSpaceDE w:val="0"/>
              <w:autoSpaceDN w:val="0"/>
              <w:adjustRightInd w:val="0"/>
              <w:spacing w:after="0" w:line="276" w:lineRule="auto"/>
              <w:rPr>
                <w:rFonts w:eastAsia="Calibri"/>
                <w:b/>
                <w:bCs/>
                <w:sz w:val="18"/>
                <w:szCs w:val="18"/>
              </w:rPr>
            </w:pPr>
            <w:r w:rsidRPr="00D91B34">
              <w:rPr>
                <w:rFonts w:eastAsia="Calibri"/>
                <w:b/>
                <w:bCs/>
                <w:sz w:val="18"/>
                <w:szCs w:val="18"/>
              </w:rPr>
              <w:t>Output 1.1</w:t>
            </w:r>
          </w:p>
          <w:p w14:paraId="7D37CA19" w14:textId="605110CC" w:rsidR="00AE4FA0" w:rsidRPr="00D91B34" w:rsidRDefault="00AE4FA0" w:rsidP="00D91B34">
            <w:pPr>
              <w:autoSpaceDE w:val="0"/>
              <w:autoSpaceDN w:val="0"/>
              <w:adjustRightInd w:val="0"/>
              <w:spacing w:afterLines="60" w:after="144" w:line="276" w:lineRule="auto"/>
              <w:jc w:val="left"/>
              <w:rPr>
                <w:sz w:val="18"/>
                <w:szCs w:val="18"/>
              </w:rPr>
            </w:pPr>
            <w:r w:rsidRPr="00D91B34">
              <w:rPr>
                <w:sz w:val="18"/>
                <w:szCs w:val="18"/>
              </w:rPr>
              <w:t>Improved policy dialogue mechanism</w:t>
            </w:r>
          </w:p>
          <w:p w14:paraId="4D01F29C" w14:textId="1F3AC22B" w:rsidR="002D6E51" w:rsidRPr="002D6E51" w:rsidRDefault="002D6E51" w:rsidP="002D6E51">
            <w:pPr>
              <w:spacing w:afterAutospacing="1" w:line="276" w:lineRule="auto"/>
              <w:jc w:val="left"/>
              <w:rPr>
                <w:color w:val="00B050"/>
                <w:sz w:val="18"/>
                <w:szCs w:val="18"/>
              </w:rPr>
            </w:pPr>
            <w:r w:rsidRPr="002D6E51">
              <w:rPr>
                <w:color w:val="00B050"/>
                <w:sz w:val="18"/>
                <w:szCs w:val="18"/>
              </w:rPr>
              <w:t>[FNLC output]</w:t>
            </w:r>
          </w:p>
        </w:tc>
        <w:tc>
          <w:tcPr>
            <w:tcW w:w="0" w:type="auto"/>
            <w:tcBorders>
              <w:top w:val="single" w:sz="4" w:space="0" w:color="auto"/>
              <w:left w:val="single" w:sz="4" w:space="0" w:color="auto"/>
              <w:bottom w:val="single" w:sz="4" w:space="0" w:color="auto"/>
              <w:right w:val="single" w:sz="4" w:space="0" w:color="auto"/>
            </w:tcBorders>
            <w:hideMark/>
          </w:tcPr>
          <w:p w14:paraId="5EC52E40" w14:textId="2B7BEB50" w:rsidR="00AE4FA0" w:rsidRDefault="00AE4FA0">
            <w:pPr>
              <w:autoSpaceDE w:val="0"/>
              <w:autoSpaceDN w:val="0"/>
              <w:adjustRightInd w:val="0"/>
              <w:spacing w:after="0" w:line="276" w:lineRule="auto"/>
              <w:rPr>
                <w:sz w:val="18"/>
                <w:szCs w:val="18"/>
              </w:rPr>
            </w:pPr>
            <w:r>
              <w:rPr>
                <w:sz w:val="18"/>
                <w:szCs w:val="18"/>
              </w:rPr>
              <w:t xml:space="preserve">1.1.1 Indicator 1 to Output 1 </w:t>
            </w:r>
          </w:p>
          <w:p w14:paraId="1711B485" w14:textId="77777777" w:rsidR="00AE4FA0" w:rsidRDefault="00AE4FA0">
            <w:pPr>
              <w:autoSpaceDE w:val="0"/>
              <w:autoSpaceDN w:val="0"/>
              <w:adjustRightInd w:val="0"/>
              <w:spacing w:afterLines="60" w:after="144" w:line="276" w:lineRule="auto"/>
              <w:rPr>
                <w:rFonts w:eastAsia="Times New Roman"/>
                <w:sz w:val="18"/>
                <w:szCs w:val="18"/>
              </w:rPr>
            </w:pPr>
            <w:r>
              <w:rPr>
                <w:sz w:val="18"/>
                <w:szCs w:val="18"/>
              </w:rPr>
              <w:t xml:space="preserve">Number of conferences that agrees at least 3 policy related action points as part of the conclusions (as per standards detailed in the narrative of the </w:t>
            </w:r>
            <w:proofErr w:type="spellStart"/>
            <w:r>
              <w:rPr>
                <w:sz w:val="18"/>
                <w:szCs w:val="18"/>
              </w:rPr>
              <w:t>DoA</w:t>
            </w:r>
            <w:proofErr w:type="spellEnd"/>
            <w:r>
              <w:rPr>
                <w:sz w:val="18"/>
                <w:szCs w:val="18"/>
              </w:rPr>
              <w:t xml:space="preserve"> – Annex 1).</w:t>
            </w:r>
          </w:p>
        </w:tc>
        <w:tc>
          <w:tcPr>
            <w:tcW w:w="0" w:type="auto"/>
            <w:tcBorders>
              <w:top w:val="single" w:sz="4" w:space="0" w:color="auto"/>
              <w:left w:val="single" w:sz="4" w:space="0" w:color="auto"/>
              <w:bottom w:val="single" w:sz="4" w:space="0" w:color="auto"/>
              <w:right w:val="single" w:sz="4" w:space="0" w:color="auto"/>
            </w:tcBorders>
          </w:tcPr>
          <w:p w14:paraId="737F63E5" w14:textId="58ABFD22" w:rsidR="00AE4FA0" w:rsidRPr="002B76D4" w:rsidRDefault="00AE4FA0" w:rsidP="0032645C">
            <w:pPr>
              <w:autoSpaceDE w:val="0"/>
              <w:autoSpaceDN w:val="0"/>
              <w:adjustRightInd w:val="0"/>
              <w:spacing w:afterLines="60" w:after="144" w:line="276" w:lineRule="auto"/>
              <w:jc w:val="center"/>
              <w:rPr>
                <w:color w:val="00B050"/>
                <w:sz w:val="18"/>
                <w:szCs w:val="18"/>
              </w:rPr>
            </w:pPr>
            <w:r w:rsidRPr="002B76D4">
              <w:rPr>
                <w:color w:val="00B05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4885309E" w14:textId="322119F3" w:rsidR="00AE4FA0" w:rsidRDefault="00AE4FA0" w:rsidP="00FF24D8">
            <w:pPr>
              <w:autoSpaceDE w:val="0"/>
              <w:autoSpaceDN w:val="0"/>
              <w:adjustRightInd w:val="0"/>
              <w:spacing w:afterLines="60" w:after="144" w:line="276" w:lineRule="auto"/>
              <w:rPr>
                <w:sz w:val="18"/>
                <w:szCs w:val="18"/>
              </w:rPr>
            </w:pPr>
            <w:r>
              <w:rPr>
                <w:sz w:val="18"/>
                <w:szCs w:val="18"/>
              </w:rPr>
              <w:t>0</w:t>
            </w:r>
            <w:r w:rsidR="00FF24D8">
              <w:rPr>
                <w:sz w:val="18"/>
                <w:szCs w:val="18"/>
              </w:rPr>
              <w:t xml:space="preserve"> </w:t>
            </w:r>
            <w:r>
              <w:rPr>
                <w:sz w:val="18"/>
                <w:szCs w:val="18"/>
              </w:rPr>
              <w:t>(2024)</w:t>
            </w:r>
          </w:p>
        </w:tc>
        <w:tc>
          <w:tcPr>
            <w:tcW w:w="0" w:type="auto"/>
            <w:tcBorders>
              <w:top w:val="single" w:sz="4" w:space="0" w:color="auto"/>
              <w:left w:val="single" w:sz="4" w:space="0" w:color="auto"/>
              <w:bottom w:val="single" w:sz="4" w:space="0" w:color="auto"/>
              <w:right w:val="single" w:sz="4" w:space="0" w:color="auto"/>
            </w:tcBorders>
            <w:hideMark/>
          </w:tcPr>
          <w:p w14:paraId="77569D1D" w14:textId="0BD065DE" w:rsidR="00AE4FA0" w:rsidRDefault="00AE4FA0">
            <w:pPr>
              <w:autoSpaceDE w:val="0"/>
              <w:autoSpaceDN w:val="0"/>
              <w:adjustRightInd w:val="0"/>
              <w:spacing w:after="0" w:line="276" w:lineRule="auto"/>
              <w:jc w:val="left"/>
              <w:rPr>
                <w:sz w:val="18"/>
                <w:szCs w:val="18"/>
              </w:rPr>
            </w:pPr>
            <w:r>
              <w:rPr>
                <w:sz w:val="18"/>
                <w:szCs w:val="18"/>
              </w:rPr>
              <w:t>1 (2024)</w:t>
            </w:r>
          </w:p>
          <w:p w14:paraId="50D66928" w14:textId="54E0BCAE" w:rsidR="00AE4FA0" w:rsidRDefault="00AE4FA0">
            <w:pPr>
              <w:autoSpaceDE w:val="0"/>
              <w:autoSpaceDN w:val="0"/>
              <w:adjustRightInd w:val="0"/>
              <w:spacing w:after="0" w:line="276" w:lineRule="auto"/>
              <w:jc w:val="left"/>
              <w:rPr>
                <w:sz w:val="18"/>
                <w:szCs w:val="18"/>
              </w:rPr>
            </w:pPr>
            <w:r>
              <w:rPr>
                <w:sz w:val="18"/>
                <w:szCs w:val="18"/>
              </w:rPr>
              <w:t>2 (2025)</w:t>
            </w:r>
          </w:p>
          <w:p w14:paraId="4C8CF4AE" w14:textId="4CB3408B" w:rsidR="00AE4FA0" w:rsidRDefault="00AE4FA0">
            <w:pPr>
              <w:autoSpaceDE w:val="0"/>
              <w:autoSpaceDN w:val="0"/>
              <w:adjustRightInd w:val="0"/>
              <w:spacing w:after="0" w:line="276" w:lineRule="auto"/>
              <w:jc w:val="left"/>
              <w:rPr>
                <w:sz w:val="18"/>
                <w:szCs w:val="18"/>
              </w:rPr>
            </w:pPr>
            <w:r>
              <w:rPr>
                <w:sz w:val="18"/>
                <w:szCs w:val="18"/>
              </w:rPr>
              <w:t>3 (2026)</w:t>
            </w:r>
          </w:p>
          <w:p w14:paraId="5693862F" w14:textId="13BFEC77" w:rsidR="00AE4FA0" w:rsidRDefault="00AE4FA0">
            <w:pPr>
              <w:autoSpaceDE w:val="0"/>
              <w:autoSpaceDN w:val="0"/>
              <w:adjustRightInd w:val="0"/>
              <w:spacing w:after="0" w:line="276" w:lineRule="auto"/>
              <w:jc w:val="left"/>
              <w:rPr>
                <w:i/>
                <w:sz w:val="18"/>
                <w:szCs w:val="18"/>
              </w:rPr>
            </w:pPr>
            <w:r>
              <w:rPr>
                <w:sz w:val="18"/>
                <w:szCs w:val="18"/>
              </w:rPr>
              <w:t>4 (2027)</w:t>
            </w:r>
          </w:p>
        </w:tc>
        <w:tc>
          <w:tcPr>
            <w:tcW w:w="0" w:type="auto"/>
            <w:tcBorders>
              <w:top w:val="single" w:sz="4" w:space="0" w:color="auto"/>
              <w:left w:val="single" w:sz="4" w:space="0" w:color="auto"/>
              <w:bottom w:val="single" w:sz="4" w:space="0" w:color="auto"/>
              <w:right w:val="single" w:sz="4" w:space="0" w:color="auto"/>
            </w:tcBorders>
            <w:hideMark/>
          </w:tcPr>
          <w:p w14:paraId="748FA425" w14:textId="569281B1" w:rsidR="00AE4FA0" w:rsidRDefault="00AE4FA0">
            <w:pPr>
              <w:autoSpaceDE w:val="0"/>
              <w:autoSpaceDN w:val="0"/>
              <w:adjustRightInd w:val="0"/>
              <w:spacing w:before="120" w:after="120" w:line="276" w:lineRule="auto"/>
              <w:jc w:val="left"/>
              <w:rPr>
                <w:sz w:val="18"/>
                <w:szCs w:val="18"/>
              </w:rPr>
            </w:pPr>
            <w:r>
              <w:rPr>
                <w:sz w:val="18"/>
                <w:szCs w:val="18"/>
              </w:rPr>
              <w:t>Minutes of conferences with recommendations, action points and conclusions.</w:t>
            </w:r>
          </w:p>
          <w:p w14:paraId="5F496A89" w14:textId="1618A730" w:rsidR="00AE4FA0" w:rsidRDefault="00AE4FA0">
            <w:pPr>
              <w:autoSpaceDE w:val="0"/>
              <w:autoSpaceDN w:val="0"/>
              <w:adjustRightInd w:val="0"/>
              <w:spacing w:before="120" w:after="120" w:line="276" w:lineRule="auto"/>
              <w:jc w:val="left"/>
              <w:rPr>
                <w:sz w:val="18"/>
                <w:szCs w:val="18"/>
              </w:rPr>
            </w:pPr>
            <w:r>
              <w:rPr>
                <w:sz w:val="18"/>
                <w:szCs w:val="18"/>
              </w:rPr>
              <w:t>Action points signed and endorsed by Minist</w:t>
            </w:r>
            <w:r w:rsidR="003766FA">
              <w:rPr>
                <w:sz w:val="18"/>
                <w:szCs w:val="18"/>
              </w:rPr>
              <w:t>ry</w:t>
            </w:r>
            <w:r>
              <w:rPr>
                <w:sz w:val="18"/>
                <w:szCs w:val="18"/>
              </w:rPr>
              <w:t xml:space="preserve"> of Energy.</w:t>
            </w:r>
          </w:p>
          <w:p w14:paraId="45990EEF" w14:textId="6DAAFFD2" w:rsidR="00414F38" w:rsidRPr="002217C7" w:rsidRDefault="005D7FE3">
            <w:pPr>
              <w:autoSpaceDE w:val="0"/>
              <w:autoSpaceDN w:val="0"/>
              <w:adjustRightInd w:val="0"/>
              <w:spacing w:before="120" w:after="120" w:line="276" w:lineRule="auto"/>
              <w:jc w:val="left"/>
              <w:rPr>
                <w:iCs/>
                <w:sz w:val="18"/>
                <w:szCs w:val="18"/>
              </w:rPr>
            </w:pPr>
            <w:r>
              <w:rPr>
                <w:iCs/>
                <w:sz w:val="18"/>
                <w:szCs w:val="18"/>
              </w:rPr>
              <w:t>Appendix 1 for technical specifications/standards</w:t>
            </w:r>
          </w:p>
        </w:tc>
        <w:tc>
          <w:tcPr>
            <w:tcW w:w="0" w:type="auto"/>
            <w:tcBorders>
              <w:top w:val="single" w:sz="4" w:space="0" w:color="auto"/>
              <w:left w:val="single" w:sz="4" w:space="0" w:color="auto"/>
              <w:bottom w:val="single" w:sz="4" w:space="0" w:color="auto"/>
              <w:right w:val="single" w:sz="4" w:space="0" w:color="auto"/>
            </w:tcBorders>
            <w:hideMark/>
          </w:tcPr>
          <w:p w14:paraId="1BDECB75" w14:textId="77777777" w:rsidR="00AE4FA0" w:rsidRDefault="00AE4FA0">
            <w:pPr>
              <w:autoSpaceDE w:val="0"/>
              <w:autoSpaceDN w:val="0"/>
              <w:adjustRightInd w:val="0"/>
              <w:spacing w:afterLines="60" w:after="144" w:line="276" w:lineRule="auto"/>
              <w:jc w:val="left"/>
              <w:rPr>
                <w:i/>
                <w:sz w:val="18"/>
                <w:szCs w:val="18"/>
              </w:rPr>
            </w:pPr>
            <w:r>
              <w:rPr>
                <w:sz w:val="18"/>
                <w:szCs w:val="18"/>
              </w:rPr>
              <w:t>Wide stakeholder interest to participate in policy dialogue.</w:t>
            </w:r>
          </w:p>
        </w:tc>
      </w:tr>
      <w:tr w:rsidR="00411A5F" w14:paraId="41E2821C" w14:textId="77777777" w:rsidTr="00AE4FA0">
        <w:trPr>
          <w:trHeight w:val="730"/>
          <w:jc w:val="center"/>
        </w:trPr>
        <w:tc>
          <w:tcPr>
            <w:tcW w:w="0" w:type="auto"/>
            <w:vMerge/>
            <w:tcBorders>
              <w:top w:val="single" w:sz="4" w:space="0" w:color="auto"/>
              <w:left w:val="single" w:sz="4" w:space="0" w:color="auto"/>
              <w:bottom w:val="single" w:sz="4" w:space="0" w:color="auto"/>
              <w:right w:val="single" w:sz="4" w:space="0" w:color="auto"/>
            </w:tcBorders>
            <w:hideMark/>
          </w:tcPr>
          <w:p w14:paraId="4468E49B" w14:textId="77777777" w:rsidR="00AE4FA0" w:rsidRDefault="00AE4FA0">
            <w:pPr>
              <w:spacing w:after="0" w:line="276" w:lineRule="auto"/>
              <w:jc w:val="left"/>
              <w:rPr>
                <w:rFonts w:eastAsia="Times New Roman" w:cs="Times New Roman"/>
                <w:b/>
                <w: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716EC1F" w14:textId="032F14D6" w:rsidR="00AE4FA0" w:rsidRDefault="00AE4FA0">
            <w:pPr>
              <w:tabs>
                <w:tab w:val="left" w:pos="0"/>
                <w:tab w:val="left" w:pos="132"/>
              </w:tabs>
              <w:spacing w:after="0" w:line="276" w:lineRule="auto"/>
              <w:rPr>
                <w:sz w:val="18"/>
                <w:szCs w:val="18"/>
              </w:rPr>
            </w:pPr>
            <w:r>
              <w:rPr>
                <w:sz w:val="18"/>
                <w:szCs w:val="18"/>
              </w:rPr>
              <w:t>Output 2 related to Outcome 1</w:t>
            </w:r>
          </w:p>
          <w:p w14:paraId="4EEC8886" w14:textId="1A11F2EC" w:rsidR="00E40636" w:rsidRPr="00E40636" w:rsidRDefault="00E40636">
            <w:pPr>
              <w:tabs>
                <w:tab w:val="left" w:pos="0"/>
                <w:tab w:val="left" w:pos="132"/>
              </w:tabs>
              <w:spacing w:after="0" w:line="276" w:lineRule="auto"/>
              <w:rPr>
                <w:b/>
                <w:bCs/>
                <w:sz w:val="18"/>
                <w:szCs w:val="18"/>
              </w:rPr>
            </w:pPr>
            <w:r w:rsidRPr="00E40636">
              <w:rPr>
                <w:b/>
                <w:bCs/>
                <w:sz w:val="18"/>
                <w:szCs w:val="18"/>
              </w:rPr>
              <w:t>Output 1.2</w:t>
            </w:r>
          </w:p>
          <w:p w14:paraId="4FD01D48" w14:textId="77777777" w:rsidR="00AE4FA0" w:rsidRDefault="00AE4FA0" w:rsidP="00774F10">
            <w:pPr>
              <w:autoSpaceDE w:val="0"/>
              <w:autoSpaceDN w:val="0"/>
              <w:adjustRightInd w:val="0"/>
              <w:spacing w:afterLines="60" w:after="144" w:line="276" w:lineRule="auto"/>
              <w:jc w:val="left"/>
              <w:rPr>
                <w:sz w:val="18"/>
                <w:szCs w:val="18"/>
              </w:rPr>
            </w:pPr>
            <w:r>
              <w:rPr>
                <w:sz w:val="18"/>
                <w:szCs w:val="18"/>
              </w:rPr>
              <w:t xml:space="preserve">Increased capacity to engage on regulatory </w:t>
            </w:r>
            <w:proofErr w:type="gramStart"/>
            <w:r>
              <w:rPr>
                <w:sz w:val="18"/>
                <w:szCs w:val="18"/>
              </w:rPr>
              <w:t>framework</w:t>
            </w:r>
            <w:proofErr w:type="gramEnd"/>
          </w:p>
          <w:p w14:paraId="287BB648" w14:textId="300F1DFA" w:rsidR="002D6E51" w:rsidRPr="002D6E51" w:rsidRDefault="002D6E51" w:rsidP="002D6E51">
            <w:pPr>
              <w:spacing w:afterAutospacing="1" w:line="276" w:lineRule="auto"/>
              <w:jc w:val="left"/>
              <w:rPr>
                <w:color w:val="00B050"/>
                <w:sz w:val="18"/>
                <w:szCs w:val="18"/>
              </w:rPr>
            </w:pPr>
            <w:r w:rsidRPr="002D6E51">
              <w:rPr>
                <w:color w:val="00B050"/>
                <w:sz w:val="18"/>
                <w:szCs w:val="18"/>
              </w:rPr>
              <w:t>[FNLC output]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D0CA23A" w14:textId="2BD62A32" w:rsidR="00AE4FA0" w:rsidRDefault="00AE4FA0">
            <w:pPr>
              <w:autoSpaceDE w:val="0"/>
              <w:autoSpaceDN w:val="0"/>
              <w:adjustRightInd w:val="0"/>
              <w:spacing w:after="0" w:line="276" w:lineRule="auto"/>
              <w:jc w:val="left"/>
              <w:rPr>
                <w:rFonts w:eastAsia="Times New Roman"/>
                <w:sz w:val="18"/>
                <w:szCs w:val="18"/>
              </w:rPr>
            </w:pPr>
            <w:r>
              <w:rPr>
                <w:sz w:val="18"/>
                <w:szCs w:val="18"/>
              </w:rPr>
              <w:t xml:space="preserve">1.2.1 Indicator 1 to Output 2 </w:t>
            </w:r>
          </w:p>
          <w:p w14:paraId="11C4679C" w14:textId="7CAF7585" w:rsidR="00AE4FA0" w:rsidRDefault="00AE4FA0" w:rsidP="00FF24D8">
            <w:pPr>
              <w:autoSpaceDE w:val="0"/>
              <w:autoSpaceDN w:val="0"/>
              <w:adjustRightInd w:val="0"/>
              <w:spacing w:after="0" w:line="276" w:lineRule="auto"/>
              <w:jc w:val="left"/>
              <w:rPr>
                <w:sz w:val="18"/>
                <w:szCs w:val="18"/>
              </w:rPr>
            </w:pPr>
            <w:r>
              <w:rPr>
                <w:sz w:val="18"/>
              </w:rPr>
              <w:t>Number of consultation / training events where at least 50% of the participants trained pass performance assessment (test) with a minimum score of 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98DBB18" w14:textId="770BDEFF" w:rsidR="00AE4FA0" w:rsidRPr="002B76D4" w:rsidRDefault="00AE4FA0" w:rsidP="0032645C">
            <w:pPr>
              <w:spacing w:afterLines="60" w:after="144" w:line="276" w:lineRule="auto"/>
              <w:jc w:val="center"/>
              <w:rPr>
                <w:color w:val="00B050"/>
                <w:sz w:val="18"/>
                <w:szCs w:val="18"/>
              </w:rPr>
            </w:pPr>
            <w:r w:rsidRPr="002B76D4">
              <w:rPr>
                <w:color w:val="00B05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19601C0" w14:textId="6C13CCC8" w:rsidR="00AE4FA0" w:rsidRDefault="00AE4FA0" w:rsidP="00FF24D8">
            <w:pPr>
              <w:spacing w:afterLines="60" w:after="144" w:line="276" w:lineRule="auto"/>
              <w:jc w:val="left"/>
              <w:rPr>
                <w:sz w:val="18"/>
                <w:szCs w:val="18"/>
              </w:rPr>
            </w:pPr>
            <w:r>
              <w:rPr>
                <w:sz w:val="18"/>
                <w:szCs w:val="18"/>
              </w:rPr>
              <w:t>0</w:t>
            </w:r>
            <w:r w:rsidR="00FF24D8">
              <w:rPr>
                <w:sz w:val="18"/>
                <w:szCs w:val="18"/>
              </w:rPr>
              <w:t xml:space="preserve"> </w:t>
            </w:r>
            <w:r>
              <w:rPr>
                <w:sz w:val="18"/>
                <w:szCs w:val="18"/>
              </w:rPr>
              <w:t>(2024)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06360EF" w14:textId="518C9DD7" w:rsidR="00AE4FA0" w:rsidRDefault="00AE4FA0">
            <w:pPr>
              <w:autoSpaceDE w:val="0"/>
              <w:autoSpaceDN w:val="0"/>
              <w:adjustRightInd w:val="0"/>
              <w:spacing w:afterLines="60" w:after="144" w:line="276" w:lineRule="auto"/>
              <w:jc w:val="left"/>
              <w:rPr>
                <w:sz w:val="18"/>
                <w:szCs w:val="18"/>
              </w:rPr>
            </w:pPr>
            <w:r>
              <w:rPr>
                <w:sz w:val="18"/>
                <w:szCs w:val="18"/>
              </w:rPr>
              <w:t>2 (2024)</w:t>
            </w:r>
          </w:p>
          <w:p w14:paraId="7F8A5383" w14:textId="1AEA7631" w:rsidR="00AE4FA0" w:rsidRDefault="00AE4FA0">
            <w:pPr>
              <w:autoSpaceDE w:val="0"/>
              <w:autoSpaceDN w:val="0"/>
              <w:adjustRightInd w:val="0"/>
              <w:spacing w:afterLines="60" w:after="144" w:line="276" w:lineRule="auto"/>
              <w:jc w:val="left"/>
              <w:rPr>
                <w:sz w:val="18"/>
                <w:szCs w:val="18"/>
              </w:rPr>
            </w:pPr>
            <w:r>
              <w:rPr>
                <w:sz w:val="18"/>
                <w:szCs w:val="18"/>
              </w:rPr>
              <w:t>4 (2025)</w:t>
            </w:r>
          </w:p>
          <w:p w14:paraId="7E608D34" w14:textId="731E0824" w:rsidR="00AE4FA0" w:rsidRDefault="00AE4FA0" w:rsidP="00FF24D8">
            <w:pPr>
              <w:autoSpaceDE w:val="0"/>
              <w:autoSpaceDN w:val="0"/>
              <w:adjustRightInd w:val="0"/>
              <w:spacing w:afterLines="60" w:after="144" w:line="276" w:lineRule="auto"/>
              <w:jc w:val="left"/>
              <w:rPr>
                <w:sz w:val="18"/>
                <w:szCs w:val="18"/>
              </w:rPr>
            </w:pPr>
            <w:r>
              <w:rPr>
                <w:sz w:val="18"/>
                <w:szCs w:val="18"/>
              </w:rPr>
              <w:t>6 (2026)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D7DAE1B" w14:textId="4AD28905" w:rsidR="00AE4FA0" w:rsidRDefault="00AE4FA0" w:rsidP="008F389F">
            <w:pPr>
              <w:autoSpaceDE w:val="0"/>
              <w:autoSpaceDN w:val="0"/>
              <w:adjustRightInd w:val="0"/>
              <w:spacing w:afterLines="60" w:after="144" w:line="276" w:lineRule="auto"/>
              <w:jc w:val="left"/>
              <w:rPr>
                <w:sz w:val="18"/>
                <w:szCs w:val="18"/>
              </w:rPr>
            </w:pPr>
            <w:r>
              <w:rPr>
                <w:sz w:val="18"/>
                <w:szCs w:val="18"/>
              </w:rPr>
              <w:t xml:space="preserve">Test results of participants based on pre-defined test questions agreed with the EU Delegation and testing overseen by </w:t>
            </w:r>
            <w:proofErr w:type="gramStart"/>
            <w:r>
              <w:rPr>
                <w:sz w:val="18"/>
                <w:szCs w:val="18"/>
              </w:rPr>
              <w:t>Technical</w:t>
            </w:r>
            <w:proofErr w:type="gramEnd"/>
            <w:r>
              <w:rPr>
                <w:sz w:val="18"/>
                <w:szCs w:val="18"/>
              </w:rPr>
              <w:t xml:space="preserve"> assistance</w:t>
            </w:r>
            <w:r w:rsidR="00551182">
              <w:rPr>
                <w:sz w:val="18"/>
                <w:szCs w:val="18"/>
              </w:rPr>
              <w:t>.</w:t>
            </w:r>
          </w:p>
          <w:p w14:paraId="3EE104DC" w14:textId="38481184" w:rsidR="00551182" w:rsidRDefault="00551182" w:rsidP="008F389F">
            <w:pPr>
              <w:autoSpaceDE w:val="0"/>
              <w:autoSpaceDN w:val="0"/>
              <w:adjustRightInd w:val="0"/>
              <w:spacing w:afterLines="60" w:after="144" w:line="276" w:lineRule="auto"/>
              <w:jc w:val="left"/>
              <w:rPr>
                <w:sz w:val="18"/>
                <w:szCs w:val="18"/>
              </w:rPr>
            </w:pPr>
            <w:r>
              <w:rPr>
                <w:sz w:val="18"/>
                <w:szCs w:val="18"/>
              </w:rPr>
              <w:t>Appendix 2 for</w:t>
            </w:r>
            <w:r w:rsidR="00D03084">
              <w:rPr>
                <w:sz w:val="18"/>
                <w:szCs w:val="18"/>
              </w:rPr>
              <w:t xml:space="preserve"> technical specifications/standards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98441F0" w14:textId="77777777" w:rsidR="00AE4FA0" w:rsidRDefault="00AE4FA0">
            <w:pPr>
              <w:autoSpaceDE w:val="0"/>
              <w:autoSpaceDN w:val="0"/>
              <w:adjustRightInd w:val="0"/>
              <w:spacing w:afterLines="60" w:after="144" w:line="276" w:lineRule="auto"/>
              <w:jc w:val="left"/>
              <w:rPr>
                <w:sz w:val="18"/>
                <w:szCs w:val="18"/>
              </w:rPr>
            </w:pPr>
            <w:r>
              <w:rPr>
                <w:sz w:val="18"/>
                <w:szCs w:val="18"/>
              </w:rPr>
              <w:t>Wide stakeholder interest in policy and regulatory developments.</w:t>
            </w:r>
          </w:p>
        </w:tc>
      </w:tr>
      <w:tr w:rsidR="00411A5F" w14:paraId="62C88645" w14:textId="77777777" w:rsidTr="00B9350F">
        <w:trPr>
          <w:trHeight w:val="407"/>
          <w:jc w:val="center"/>
        </w:trPr>
        <w:tc>
          <w:tcPr>
            <w:tcW w:w="0" w:type="auto"/>
            <w:vMerge/>
            <w:tcBorders>
              <w:top w:val="single" w:sz="4" w:space="0" w:color="auto"/>
              <w:left w:val="single" w:sz="4" w:space="0" w:color="auto"/>
              <w:bottom w:val="nil"/>
              <w:right w:val="single" w:sz="4" w:space="0" w:color="auto"/>
            </w:tcBorders>
            <w:hideMark/>
          </w:tcPr>
          <w:p w14:paraId="29A6318F" w14:textId="77777777" w:rsidR="00AE4FA0" w:rsidRDefault="00AE4FA0">
            <w:pPr>
              <w:spacing w:after="0" w:line="276" w:lineRule="auto"/>
              <w:jc w:val="left"/>
              <w:rPr>
                <w:rFonts w:eastAsia="Times New Roman" w:cs="Times New Roman"/>
                <w:b/>
                <w: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7C7F611" w14:textId="4F651D04" w:rsidR="00AE4FA0" w:rsidRDefault="00AE4FA0">
            <w:pPr>
              <w:tabs>
                <w:tab w:val="left" w:pos="0"/>
                <w:tab w:val="left" w:pos="132"/>
              </w:tabs>
              <w:spacing w:after="0" w:line="276" w:lineRule="auto"/>
              <w:rPr>
                <w:rFonts w:eastAsia="Calibri"/>
                <w:sz w:val="18"/>
                <w:szCs w:val="18"/>
              </w:rPr>
            </w:pPr>
            <w:r>
              <w:rPr>
                <w:rFonts w:eastAsia="Calibri"/>
                <w:sz w:val="18"/>
                <w:szCs w:val="18"/>
              </w:rPr>
              <w:t>Output 1 related to Outcome 2</w:t>
            </w:r>
          </w:p>
          <w:p w14:paraId="69680BFA" w14:textId="503DAD60" w:rsidR="00632994" w:rsidRPr="00632994" w:rsidRDefault="00632994">
            <w:pPr>
              <w:tabs>
                <w:tab w:val="left" w:pos="0"/>
                <w:tab w:val="left" w:pos="132"/>
              </w:tabs>
              <w:spacing w:after="0" w:line="276" w:lineRule="auto"/>
              <w:rPr>
                <w:rFonts w:eastAsia="Calibri"/>
                <w:b/>
                <w:bCs/>
                <w:sz w:val="18"/>
                <w:szCs w:val="18"/>
              </w:rPr>
            </w:pPr>
            <w:r w:rsidRPr="00632994">
              <w:rPr>
                <w:rFonts w:eastAsia="Calibri"/>
                <w:b/>
                <w:bCs/>
                <w:sz w:val="18"/>
                <w:szCs w:val="18"/>
              </w:rPr>
              <w:t>Output 2.1</w:t>
            </w:r>
          </w:p>
          <w:p w14:paraId="1AB4005E" w14:textId="77777777" w:rsidR="00AE4FA0" w:rsidRDefault="00AE4FA0">
            <w:pPr>
              <w:autoSpaceDE w:val="0"/>
              <w:autoSpaceDN w:val="0"/>
              <w:adjustRightInd w:val="0"/>
              <w:spacing w:afterLines="60" w:after="144" w:line="276" w:lineRule="auto"/>
              <w:jc w:val="left"/>
              <w:rPr>
                <w:sz w:val="18"/>
                <w:szCs w:val="18"/>
              </w:rPr>
            </w:pPr>
            <w:r>
              <w:rPr>
                <w:sz w:val="18"/>
                <w:szCs w:val="18"/>
              </w:rPr>
              <w:t>Adherence to public procurement procedures described in Annex 1 for the procurement of new Renewable Energy generation from Independent from Power Producers (IPPs) is ensured.</w:t>
            </w:r>
          </w:p>
          <w:p w14:paraId="7F99007C" w14:textId="56060E7C" w:rsidR="003848C3" w:rsidRPr="003848C3" w:rsidRDefault="003848C3" w:rsidP="003848C3">
            <w:pPr>
              <w:spacing w:afterAutospacing="1" w:line="276" w:lineRule="auto"/>
              <w:jc w:val="left"/>
              <w:rPr>
                <w:rFonts w:eastAsia="Calibri"/>
                <w:b/>
                <w:sz w:val="18"/>
                <w:szCs w:val="18"/>
              </w:rPr>
            </w:pPr>
            <w:r w:rsidRPr="003848C3">
              <w:rPr>
                <w:color w:val="00B050"/>
                <w:sz w:val="18"/>
                <w:szCs w:val="18"/>
              </w:rPr>
              <w:t>[FNLC output]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BB48032" w14:textId="1C235EB9" w:rsidR="00AE4FA0" w:rsidRDefault="00AE4FA0">
            <w:pPr>
              <w:autoSpaceDE w:val="0"/>
              <w:autoSpaceDN w:val="0"/>
              <w:adjustRightInd w:val="0"/>
              <w:spacing w:beforeLines="60" w:before="144" w:after="0" w:line="276" w:lineRule="auto"/>
              <w:rPr>
                <w:rFonts w:eastAsia="Times New Roman"/>
                <w:sz w:val="18"/>
                <w:szCs w:val="18"/>
              </w:rPr>
            </w:pPr>
            <w:r>
              <w:rPr>
                <w:sz w:val="18"/>
                <w:szCs w:val="18"/>
              </w:rPr>
              <w:t xml:space="preserve">2.1.1 Indicator 1 to Output 1 </w:t>
            </w:r>
          </w:p>
          <w:p w14:paraId="06D6F0A8" w14:textId="59AF3FA8" w:rsidR="00AE4FA0" w:rsidRDefault="00AE4FA0">
            <w:pPr>
              <w:autoSpaceDE w:val="0"/>
              <w:autoSpaceDN w:val="0"/>
              <w:adjustRightInd w:val="0"/>
              <w:spacing w:after="0" w:line="276" w:lineRule="auto"/>
              <w:rPr>
                <w:rFonts w:eastAsia="Times New Roman"/>
                <w:sz w:val="18"/>
                <w:szCs w:val="18"/>
              </w:rPr>
            </w:pPr>
            <w:r>
              <w:rPr>
                <w:sz w:val="18"/>
                <w:szCs w:val="18"/>
              </w:rPr>
              <w:t xml:space="preserve">Number of technology-specific and site-specific grid-tied RE generation projects tendered following the public procurement procedures </w:t>
            </w:r>
            <w:r w:rsidR="003A7C48">
              <w:rPr>
                <w:sz w:val="18"/>
                <w:szCs w:val="18"/>
              </w:rPr>
              <w:t>(</w:t>
            </w:r>
            <w:r>
              <w:rPr>
                <w:sz w:val="18"/>
                <w:szCs w:val="18"/>
              </w:rPr>
              <w:t xml:space="preserve">set out in </w:t>
            </w:r>
            <w:r w:rsidR="00411A5F">
              <w:rPr>
                <w:sz w:val="18"/>
                <w:szCs w:val="18"/>
              </w:rPr>
              <w:t>Appendix 3</w:t>
            </w:r>
            <w:r w:rsidR="003A7C48">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9BB375" w14:textId="496BA711" w:rsidR="00AE4FA0" w:rsidRPr="002B76D4" w:rsidRDefault="00774F10" w:rsidP="0032645C">
            <w:pPr>
              <w:spacing w:afterLines="60" w:after="144" w:line="276" w:lineRule="auto"/>
              <w:jc w:val="center"/>
              <w:rPr>
                <w:color w:val="00B050"/>
                <w:sz w:val="18"/>
                <w:szCs w:val="18"/>
              </w:rPr>
            </w:pPr>
            <w:r w:rsidRPr="002B76D4">
              <w:rPr>
                <w:color w:val="00B05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75F49" w14:textId="4A0A543E" w:rsidR="00AE4FA0" w:rsidRDefault="00AE4FA0" w:rsidP="00943AE5">
            <w:pPr>
              <w:spacing w:afterLines="60" w:after="144" w:line="276" w:lineRule="auto"/>
              <w:jc w:val="left"/>
              <w:rPr>
                <w:sz w:val="18"/>
                <w:szCs w:val="18"/>
              </w:rPr>
            </w:pPr>
            <w:r>
              <w:rPr>
                <w:sz w:val="18"/>
                <w:szCs w:val="18"/>
              </w:rPr>
              <w:t>4 (2024)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BC6BC72" w14:textId="77777777" w:rsidR="00AE4FA0" w:rsidRDefault="00AE4FA0">
            <w:pPr>
              <w:autoSpaceDE w:val="0"/>
              <w:autoSpaceDN w:val="0"/>
              <w:adjustRightInd w:val="0"/>
              <w:spacing w:afterLines="60" w:after="144" w:line="276" w:lineRule="auto"/>
              <w:jc w:val="left"/>
              <w:rPr>
                <w:sz w:val="18"/>
                <w:szCs w:val="18"/>
              </w:rPr>
            </w:pPr>
            <w:r>
              <w:rPr>
                <w:sz w:val="18"/>
                <w:szCs w:val="18"/>
              </w:rPr>
              <w:t>5 (4+1) (2024)</w:t>
            </w:r>
          </w:p>
          <w:p w14:paraId="32382839" w14:textId="77777777" w:rsidR="00AE4FA0" w:rsidRDefault="00AE4FA0">
            <w:pPr>
              <w:autoSpaceDE w:val="0"/>
              <w:autoSpaceDN w:val="0"/>
              <w:adjustRightInd w:val="0"/>
              <w:spacing w:afterLines="60" w:after="144" w:line="276" w:lineRule="auto"/>
              <w:jc w:val="left"/>
              <w:rPr>
                <w:sz w:val="18"/>
                <w:szCs w:val="18"/>
              </w:rPr>
            </w:pPr>
            <w:r>
              <w:rPr>
                <w:sz w:val="18"/>
                <w:szCs w:val="18"/>
              </w:rPr>
              <w:t>7 (4+3) (2026)</w:t>
            </w:r>
          </w:p>
          <w:p w14:paraId="2F6BDF23" w14:textId="77777777" w:rsidR="00AE4FA0" w:rsidRDefault="00AE4FA0">
            <w:pPr>
              <w:autoSpaceDE w:val="0"/>
              <w:autoSpaceDN w:val="0"/>
              <w:adjustRightInd w:val="0"/>
              <w:spacing w:afterLines="60" w:after="144" w:line="276" w:lineRule="auto"/>
              <w:jc w:val="left"/>
              <w:rPr>
                <w:sz w:val="18"/>
                <w:szCs w:val="18"/>
              </w:rPr>
            </w:pPr>
            <w:r>
              <w:rPr>
                <w:sz w:val="18"/>
                <w:szCs w:val="18"/>
              </w:rPr>
              <w:t xml:space="preserve">8 (4+4) (2027)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BACCE97" w14:textId="77777777" w:rsidR="00AE4FA0" w:rsidRDefault="00AE4FA0" w:rsidP="008F389F">
            <w:pPr>
              <w:autoSpaceDE w:val="0"/>
              <w:autoSpaceDN w:val="0"/>
              <w:adjustRightInd w:val="0"/>
              <w:spacing w:afterLines="60" w:after="144" w:line="276" w:lineRule="auto"/>
              <w:jc w:val="left"/>
              <w:rPr>
                <w:sz w:val="18"/>
                <w:szCs w:val="18"/>
              </w:rPr>
            </w:pPr>
            <w:r>
              <w:rPr>
                <w:sz w:val="18"/>
                <w:szCs w:val="18"/>
              </w:rPr>
              <w:t>Tender documentation approved by the Public Procurement Authority</w:t>
            </w:r>
          </w:p>
          <w:p w14:paraId="4D1E260A" w14:textId="29E44A47" w:rsidR="00D03084" w:rsidRDefault="00D03084" w:rsidP="008F389F">
            <w:pPr>
              <w:autoSpaceDE w:val="0"/>
              <w:autoSpaceDN w:val="0"/>
              <w:adjustRightInd w:val="0"/>
              <w:spacing w:afterLines="60" w:after="144" w:line="276" w:lineRule="auto"/>
              <w:jc w:val="left"/>
              <w:rPr>
                <w:sz w:val="18"/>
                <w:szCs w:val="18"/>
              </w:rPr>
            </w:pPr>
            <w:r>
              <w:rPr>
                <w:sz w:val="18"/>
                <w:szCs w:val="18"/>
              </w:rPr>
              <w:t>Appendix 3 for technical specifications/standards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9A3FA5D" w14:textId="79F84340" w:rsidR="00AE4FA0" w:rsidRDefault="00AE4FA0" w:rsidP="008F389F">
            <w:pPr>
              <w:autoSpaceDE w:val="0"/>
              <w:autoSpaceDN w:val="0"/>
              <w:adjustRightInd w:val="0"/>
              <w:spacing w:afterLines="60" w:after="144" w:line="276" w:lineRule="auto"/>
              <w:jc w:val="left"/>
              <w:rPr>
                <w:sz w:val="18"/>
                <w:szCs w:val="18"/>
              </w:rPr>
            </w:pPr>
            <w:r>
              <w:rPr>
                <w:sz w:val="18"/>
                <w:szCs w:val="18"/>
              </w:rPr>
              <w:t>International and local private sector interest in participating in Malawi energy market</w:t>
            </w:r>
          </w:p>
        </w:tc>
      </w:tr>
      <w:tr w:rsidR="00551182" w14:paraId="12886602" w14:textId="77777777" w:rsidTr="00B9350F">
        <w:trPr>
          <w:trHeight w:val="407"/>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tcPr>
          <w:p w14:paraId="1931A210" w14:textId="77777777" w:rsidR="00E4370C" w:rsidRDefault="00E4370C" w:rsidP="00E4370C">
            <w:pPr>
              <w:spacing w:after="0" w:line="276" w:lineRule="auto"/>
              <w:jc w:val="left"/>
              <w:rPr>
                <w:rFonts w:eastAsia="Times New Roman" w:cs="Times New Roman"/>
                <w:b/>
                <w: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2EDC2A8" w14:textId="1C1410F0" w:rsidR="00E4370C" w:rsidRPr="00B9350F" w:rsidRDefault="00E4370C" w:rsidP="00E4370C">
            <w:pPr>
              <w:tabs>
                <w:tab w:val="left" w:pos="0"/>
                <w:tab w:val="left" w:pos="132"/>
              </w:tabs>
              <w:spacing w:after="0" w:line="276" w:lineRule="auto"/>
              <w:rPr>
                <w:rFonts w:eastAsia="Calibri"/>
                <w:b/>
                <w:bCs/>
                <w:sz w:val="18"/>
                <w:szCs w:val="18"/>
              </w:rPr>
            </w:pPr>
            <w:r w:rsidRPr="00B9350F">
              <w:rPr>
                <w:rFonts w:eastAsia="Calibri"/>
                <w:b/>
                <w:bCs/>
                <w:sz w:val="18"/>
                <w:szCs w:val="18"/>
              </w:rPr>
              <w:t>Output 3</w:t>
            </w:r>
          </w:p>
          <w:p w14:paraId="3D43E473" w14:textId="6E958CC9" w:rsidR="00E4370C" w:rsidRDefault="00E4370C" w:rsidP="00E4370C">
            <w:pPr>
              <w:tabs>
                <w:tab w:val="left" w:pos="0"/>
                <w:tab w:val="left" w:pos="132"/>
              </w:tabs>
              <w:spacing w:after="0" w:line="276" w:lineRule="auto"/>
              <w:rPr>
                <w:rFonts w:eastAsia="Calibri"/>
                <w:sz w:val="18"/>
                <w:szCs w:val="18"/>
              </w:rPr>
            </w:pPr>
            <w:r>
              <w:rPr>
                <w:rFonts w:eastAsia="Calibri"/>
                <w:sz w:val="18"/>
                <w:szCs w:val="18"/>
              </w:rPr>
              <w:t xml:space="preserve">Third </w:t>
            </w:r>
            <w:r w:rsidR="0099196C">
              <w:rPr>
                <w:rFonts w:eastAsia="Calibri"/>
                <w:sz w:val="18"/>
                <w:szCs w:val="18"/>
              </w:rPr>
              <w:t>p</w:t>
            </w:r>
            <w:r>
              <w:rPr>
                <w:rFonts w:eastAsia="Calibri"/>
                <w:sz w:val="18"/>
                <w:szCs w:val="18"/>
              </w:rPr>
              <w:t xml:space="preserve">arty </w:t>
            </w:r>
            <w:r w:rsidR="0099196C">
              <w:rPr>
                <w:rFonts w:eastAsia="Calibri"/>
                <w:sz w:val="18"/>
                <w:szCs w:val="18"/>
              </w:rPr>
              <w:t>a</w:t>
            </w:r>
            <w:r>
              <w:rPr>
                <w:rFonts w:eastAsia="Calibri"/>
                <w:sz w:val="18"/>
                <w:szCs w:val="18"/>
              </w:rPr>
              <w:t>ssessment</w:t>
            </w:r>
          </w:p>
          <w:p w14:paraId="202300C7" w14:textId="158920C7" w:rsidR="00482730" w:rsidRDefault="00482730" w:rsidP="00E4370C">
            <w:pPr>
              <w:tabs>
                <w:tab w:val="left" w:pos="0"/>
                <w:tab w:val="left" w:pos="132"/>
              </w:tabs>
              <w:spacing w:after="0" w:line="276" w:lineRule="auto"/>
              <w:rPr>
                <w:rFonts w:eastAsia="Calibri"/>
                <w:sz w:val="18"/>
                <w:szCs w:val="18"/>
              </w:rPr>
            </w:pPr>
            <w:r w:rsidRPr="003848C3">
              <w:rPr>
                <w:color w:val="00B050"/>
                <w:sz w:val="18"/>
                <w:szCs w:val="18"/>
              </w:rPr>
              <w:t>[FNLC output]</w:t>
            </w:r>
            <w:r w:rsidR="00CE2172">
              <w:rPr>
                <w:rStyle w:val="FootnoteReference"/>
                <w:color w:val="00B050"/>
                <w:sz w:val="18"/>
                <w:szCs w:val="18"/>
              </w:rPr>
              <w:footnoteReference w:id="3"/>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1159948" w14:textId="77777777" w:rsidR="00E4370C" w:rsidRDefault="00E4370C" w:rsidP="00994E35">
            <w:pPr>
              <w:autoSpaceDE w:val="0"/>
              <w:autoSpaceDN w:val="0"/>
              <w:adjustRightInd w:val="0"/>
              <w:spacing w:beforeLines="60" w:before="144" w:after="0" w:line="276" w:lineRule="auto"/>
              <w:jc w:val="left"/>
              <w:rPr>
                <w:sz w:val="18"/>
                <w:szCs w:val="18"/>
              </w:rPr>
            </w:pPr>
            <w:r>
              <w:rPr>
                <w:sz w:val="18"/>
                <w:szCs w:val="18"/>
              </w:rPr>
              <w:t>Indicator 3.1</w:t>
            </w:r>
          </w:p>
          <w:p w14:paraId="79E19846" w14:textId="6D02CC7D" w:rsidR="00E4370C" w:rsidRDefault="00E4370C" w:rsidP="00994E35">
            <w:pPr>
              <w:autoSpaceDE w:val="0"/>
              <w:autoSpaceDN w:val="0"/>
              <w:adjustRightInd w:val="0"/>
              <w:spacing w:beforeLines="60" w:before="144" w:after="0" w:line="276" w:lineRule="auto"/>
              <w:jc w:val="left"/>
              <w:rPr>
                <w:sz w:val="18"/>
                <w:szCs w:val="18"/>
              </w:rPr>
            </w:pPr>
            <w:r>
              <w:rPr>
                <w:sz w:val="18"/>
                <w:szCs w:val="18"/>
              </w:rPr>
              <w:t xml:space="preserve">Number of </w:t>
            </w:r>
            <w:proofErr w:type="gramStart"/>
            <w:r w:rsidR="0099196C">
              <w:rPr>
                <w:sz w:val="18"/>
                <w:szCs w:val="18"/>
              </w:rPr>
              <w:t>t</w:t>
            </w:r>
            <w:r>
              <w:rPr>
                <w:sz w:val="18"/>
                <w:szCs w:val="18"/>
              </w:rPr>
              <w:t xml:space="preserve">hird </w:t>
            </w:r>
            <w:r w:rsidR="0099196C">
              <w:rPr>
                <w:sz w:val="18"/>
                <w:szCs w:val="18"/>
              </w:rPr>
              <w:t>pa</w:t>
            </w:r>
            <w:r>
              <w:rPr>
                <w:sz w:val="18"/>
                <w:szCs w:val="18"/>
              </w:rPr>
              <w:t>rty</w:t>
            </w:r>
            <w:proofErr w:type="gramEnd"/>
            <w:r>
              <w:rPr>
                <w:sz w:val="18"/>
                <w:szCs w:val="18"/>
              </w:rPr>
              <w:t xml:space="preserve"> </w:t>
            </w:r>
            <w:r w:rsidR="0099196C">
              <w:rPr>
                <w:sz w:val="18"/>
                <w:szCs w:val="18"/>
              </w:rPr>
              <w:t>a</w:t>
            </w:r>
            <w:r>
              <w:rPr>
                <w:sz w:val="18"/>
                <w:szCs w:val="18"/>
              </w:rPr>
              <w:t>ssessment Reports approved</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E9BA84B" w14:textId="41FFB2D2" w:rsidR="00E4370C" w:rsidRPr="002B76D4" w:rsidRDefault="00E4370C" w:rsidP="0032645C">
            <w:pPr>
              <w:spacing w:afterLines="60" w:after="144" w:line="276" w:lineRule="auto"/>
              <w:jc w:val="center"/>
              <w:rPr>
                <w:color w:val="00B050"/>
                <w:sz w:val="18"/>
                <w:szCs w:val="18"/>
              </w:rPr>
            </w:pPr>
            <w:r w:rsidRPr="002B76D4">
              <w:rPr>
                <w:color w:val="00B05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94309F" w14:textId="30134AEE" w:rsidR="00E4370C" w:rsidRDefault="00B9350F" w:rsidP="00E4370C">
            <w:pPr>
              <w:spacing w:afterLines="60" w:after="144" w:line="276" w:lineRule="auto"/>
              <w:jc w:val="left"/>
              <w:rPr>
                <w:sz w:val="18"/>
                <w:szCs w:val="18"/>
              </w:rPr>
            </w:pPr>
            <w:r>
              <w:rPr>
                <w:sz w:val="18"/>
                <w:szCs w:val="18"/>
              </w:rPr>
              <w:t>0 (2024)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1A0268" w14:textId="65CBCEF7" w:rsidR="00E4370C" w:rsidRDefault="00B9350F" w:rsidP="00E4370C">
            <w:pPr>
              <w:autoSpaceDE w:val="0"/>
              <w:autoSpaceDN w:val="0"/>
              <w:adjustRightInd w:val="0"/>
              <w:spacing w:afterLines="60" w:after="144" w:line="276" w:lineRule="auto"/>
              <w:jc w:val="left"/>
              <w:rPr>
                <w:sz w:val="18"/>
                <w:szCs w:val="18"/>
              </w:rPr>
            </w:pPr>
            <w:r>
              <w:rPr>
                <w:sz w:val="18"/>
                <w:szCs w:val="18"/>
              </w:rPr>
              <w:t>1 (2027)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4DAFD90" w14:textId="06D118A5" w:rsidR="00E4370C" w:rsidRDefault="00EA6DF2" w:rsidP="00E4370C">
            <w:pPr>
              <w:autoSpaceDE w:val="0"/>
              <w:autoSpaceDN w:val="0"/>
              <w:adjustRightInd w:val="0"/>
              <w:spacing w:afterLines="60" w:after="144" w:line="276" w:lineRule="auto"/>
              <w:jc w:val="left"/>
              <w:rPr>
                <w:sz w:val="18"/>
                <w:szCs w:val="18"/>
              </w:rPr>
            </w:pPr>
            <w:r>
              <w:rPr>
                <w:sz w:val="18"/>
                <w:szCs w:val="18"/>
              </w:rPr>
              <w:t xml:space="preserve">Third </w:t>
            </w:r>
            <w:r w:rsidR="0099196C">
              <w:rPr>
                <w:sz w:val="18"/>
                <w:szCs w:val="18"/>
              </w:rPr>
              <w:t>p</w:t>
            </w:r>
            <w:r>
              <w:rPr>
                <w:sz w:val="18"/>
                <w:szCs w:val="18"/>
              </w:rPr>
              <w:t xml:space="preserve">arty </w:t>
            </w:r>
            <w:r w:rsidR="0099196C">
              <w:rPr>
                <w:sz w:val="18"/>
                <w:szCs w:val="18"/>
              </w:rPr>
              <w:t>a</w:t>
            </w:r>
            <w:r>
              <w:rPr>
                <w:sz w:val="18"/>
                <w:szCs w:val="18"/>
              </w:rPr>
              <w:t>ssessment report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03E567B" w14:textId="48521D8C" w:rsidR="00E4370C" w:rsidRDefault="00EA6DF2" w:rsidP="00E4370C">
            <w:pPr>
              <w:autoSpaceDE w:val="0"/>
              <w:autoSpaceDN w:val="0"/>
              <w:adjustRightInd w:val="0"/>
              <w:spacing w:afterLines="60" w:after="144" w:line="276" w:lineRule="auto"/>
              <w:jc w:val="left"/>
              <w:rPr>
                <w:sz w:val="18"/>
                <w:szCs w:val="18"/>
              </w:rPr>
            </w:pPr>
            <w:r>
              <w:rPr>
                <w:sz w:val="18"/>
                <w:szCs w:val="18"/>
              </w:rPr>
              <w:t>N/A</w:t>
            </w:r>
          </w:p>
        </w:tc>
      </w:tr>
    </w:tbl>
    <w:p w14:paraId="0A32C2B5" w14:textId="77777777" w:rsidR="005E701E" w:rsidRDefault="005E701E">
      <w:pPr>
        <w:spacing w:before="0" w:after="160"/>
        <w:jc w:val="left"/>
      </w:pPr>
      <w:r>
        <w:br w:type="page"/>
      </w:r>
    </w:p>
    <w:p w14:paraId="41189468" w14:textId="369900A1" w:rsidR="00EA65BD" w:rsidRDefault="00EA65BD" w:rsidP="002217C7">
      <w:pPr>
        <w:spacing w:after="240"/>
        <w:rPr>
          <w:rFonts w:cs="Arial"/>
          <w:sz w:val="21"/>
          <w:szCs w:val="21"/>
        </w:rPr>
      </w:pPr>
      <w:r>
        <w:rPr>
          <w:rFonts w:cs="Arial"/>
        </w:rPr>
        <w:lastRenderedPageBreak/>
        <w:t xml:space="preserve">The indicative </w:t>
      </w:r>
      <w:r w:rsidR="006E7E9A">
        <w:rPr>
          <w:rFonts w:cs="Arial"/>
        </w:rPr>
        <w:t>self-guidance</w:t>
      </w:r>
      <w:r>
        <w:rPr>
          <w:rFonts w:cs="Arial"/>
        </w:rPr>
        <w:t xml:space="preserve"> </w:t>
      </w:r>
      <w:r w:rsidRPr="00165C0C">
        <w:rPr>
          <w:rFonts w:cs="Arial"/>
          <w:b/>
          <w:bCs/>
        </w:rPr>
        <w:t>checklist</w:t>
      </w:r>
      <w:r>
        <w:rPr>
          <w:rFonts w:cs="Arial"/>
        </w:rPr>
        <w:t xml:space="preserve"> provided below </w:t>
      </w:r>
      <w:r>
        <w:t>aims to</w:t>
      </w:r>
      <w:r w:rsidRPr="00AF37CC">
        <w:t xml:space="preserve"> </w:t>
      </w:r>
      <w:r>
        <w:t>support</w:t>
      </w:r>
      <w:r w:rsidRPr="00AF37CC">
        <w:t xml:space="preserve"> </w:t>
      </w:r>
      <w:r>
        <w:t xml:space="preserve">the </w:t>
      </w:r>
      <w:r w:rsidR="00DD0F73">
        <w:t xml:space="preserve">applicant </w:t>
      </w:r>
      <w:r w:rsidRPr="00AF37CC">
        <w:t xml:space="preserve">to verify that the </w:t>
      </w:r>
      <w:r w:rsidRPr="00165C0C">
        <w:rPr>
          <w:b/>
          <w:bCs/>
        </w:rPr>
        <w:t>indicators selected for FNLC</w:t>
      </w:r>
      <w:r w:rsidRPr="00AF37CC">
        <w:t xml:space="preserve"> are fit for purpose. This checklist is </w:t>
      </w:r>
      <w:r w:rsidR="00752E72">
        <w:t xml:space="preserve">purely indicative and </w:t>
      </w:r>
      <w:r w:rsidR="00752E72" w:rsidRPr="002217C7">
        <w:rPr>
          <w:b/>
        </w:rPr>
        <w:t xml:space="preserve">not to be filled in by the </w:t>
      </w:r>
      <w:r w:rsidR="00AF175D" w:rsidRPr="002217C7">
        <w:rPr>
          <w:b/>
        </w:rPr>
        <w:t>applicant</w:t>
      </w:r>
      <w:r w:rsidR="00121886">
        <w:rPr>
          <w:b/>
        </w:rPr>
        <w:t xml:space="preserve"> as part of the Application Form</w:t>
      </w:r>
      <w:r w:rsidRPr="002217C7">
        <w:rPr>
          <w:rFonts w:cs="Arial"/>
          <w:b/>
          <w:sz w:val="21"/>
          <w:szCs w:val="21"/>
        </w:rPr>
        <w:t>.</w:t>
      </w:r>
    </w:p>
    <w:p w14:paraId="58894332" w14:textId="26B9E08E" w:rsidR="00EA65BD" w:rsidRPr="008061EE" w:rsidRDefault="00EA65BD" w:rsidP="00EA65BD">
      <w:pPr>
        <w:spacing w:before="100"/>
        <w:rPr>
          <w:rStyle w:val="ui-provider"/>
        </w:rPr>
      </w:pPr>
      <w:r w:rsidRPr="00511B51">
        <w:rPr>
          <w:rStyle w:val="ui-provider"/>
          <w:rFonts w:cs="Arial"/>
          <w:i/>
          <w:iCs/>
        </w:rPr>
        <w:t xml:space="preserve">Indicative </w:t>
      </w:r>
      <w:r w:rsidR="00EB4D4D">
        <w:rPr>
          <w:rStyle w:val="ui-provider"/>
          <w:rFonts w:cs="Arial"/>
          <w:i/>
          <w:iCs/>
        </w:rPr>
        <w:t xml:space="preserve">self-guidance </w:t>
      </w:r>
      <w:r w:rsidRPr="00511B51">
        <w:rPr>
          <w:rStyle w:val="ui-provider"/>
          <w:rFonts w:cs="Arial"/>
          <w:i/>
          <w:iCs/>
        </w:rPr>
        <w:t xml:space="preserve">checklists for “contractable” </w:t>
      </w:r>
      <w:r w:rsidR="002B51DD">
        <w:rPr>
          <w:rStyle w:val="ui-provider"/>
          <w:rFonts w:cs="Arial"/>
          <w:i/>
          <w:iCs/>
        </w:rPr>
        <w:t xml:space="preserve">performance </w:t>
      </w:r>
      <w:r w:rsidRPr="00511B51">
        <w:rPr>
          <w:rStyle w:val="ui-provider"/>
          <w:rFonts w:cs="Arial"/>
          <w:i/>
          <w:iCs/>
        </w:rPr>
        <w:t>indicators</w:t>
      </w:r>
      <w:r>
        <w:rPr>
          <w:rStyle w:val="ui-provider"/>
          <w:rFonts w:cs="Arial"/>
          <w:i/>
          <w:iCs/>
        </w:rPr>
        <w:t>:</w:t>
      </w:r>
    </w:p>
    <w:tbl>
      <w:tblPr>
        <w:tblStyle w:val="TableGridLight"/>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7235"/>
        <w:gridCol w:w="1417"/>
        <w:gridCol w:w="4721"/>
      </w:tblGrid>
      <w:tr w:rsidR="00EA65BD" w:rsidRPr="006B414D" w14:paraId="071283AD" w14:textId="77777777" w:rsidTr="00777F55">
        <w:trPr>
          <w:trHeight w:val="472"/>
          <w:tblHeader/>
        </w:trPr>
        <w:tc>
          <w:tcPr>
            <w:tcW w:w="2812" w:type="pct"/>
            <w:gridSpan w:val="2"/>
            <w:shd w:val="clear" w:color="auto" w:fill="E7E6E6" w:themeFill="background2"/>
            <w:vAlign w:val="center"/>
          </w:tcPr>
          <w:p w14:paraId="24E3AAF5" w14:textId="77777777" w:rsidR="00EA65BD" w:rsidRPr="006B414D" w:rsidRDefault="00EA65BD" w:rsidP="00777F55">
            <w:pPr>
              <w:spacing w:before="120" w:after="120" w:line="240" w:lineRule="exact"/>
              <w:rPr>
                <w:rFonts w:cs="Arial"/>
                <w:b/>
                <w:bCs/>
                <w:lang w:val="en-GB"/>
              </w:rPr>
            </w:pPr>
            <w:r w:rsidRPr="006B414D">
              <w:rPr>
                <w:rFonts w:cs="Arial"/>
                <w:b/>
                <w:bCs/>
                <w:lang w:val="en-GB"/>
              </w:rPr>
              <w:t>Are the contractable indicators selected for FNLC fit for purpose?</w:t>
            </w:r>
          </w:p>
        </w:tc>
        <w:tc>
          <w:tcPr>
            <w:tcW w:w="505" w:type="pct"/>
            <w:shd w:val="clear" w:color="auto" w:fill="E7E6E6" w:themeFill="background2"/>
            <w:vAlign w:val="center"/>
          </w:tcPr>
          <w:p w14:paraId="4D225205" w14:textId="77777777" w:rsidR="00EA65BD" w:rsidRPr="006B414D" w:rsidRDefault="00EA65BD" w:rsidP="00777F55">
            <w:pPr>
              <w:spacing w:before="120" w:after="120" w:line="240" w:lineRule="exact"/>
              <w:jc w:val="center"/>
              <w:rPr>
                <w:rFonts w:cs="Arial"/>
                <w:b/>
                <w:bCs/>
                <w:lang w:val="en-GB"/>
              </w:rPr>
            </w:pPr>
            <w:r w:rsidRPr="006B414D">
              <w:rPr>
                <w:rFonts w:cs="Arial"/>
                <w:b/>
                <w:bCs/>
                <w:lang w:val="en-GB"/>
              </w:rPr>
              <w:t>Yes/No</w:t>
            </w:r>
          </w:p>
        </w:tc>
        <w:tc>
          <w:tcPr>
            <w:tcW w:w="1683" w:type="pct"/>
            <w:shd w:val="clear" w:color="auto" w:fill="E7E6E6" w:themeFill="background2"/>
            <w:vAlign w:val="center"/>
          </w:tcPr>
          <w:p w14:paraId="38B15B90" w14:textId="77777777" w:rsidR="00EA65BD" w:rsidRPr="006B414D" w:rsidRDefault="00EA65BD" w:rsidP="00777F55">
            <w:pPr>
              <w:spacing w:before="120" w:after="120" w:line="240" w:lineRule="exact"/>
              <w:jc w:val="center"/>
              <w:rPr>
                <w:rFonts w:cs="Arial"/>
                <w:b/>
                <w:bCs/>
                <w:lang w:val="en-GB"/>
              </w:rPr>
            </w:pPr>
            <w:r w:rsidRPr="006B414D">
              <w:rPr>
                <w:rFonts w:cs="Arial"/>
                <w:b/>
                <w:bCs/>
                <w:lang w:val="en-GB"/>
              </w:rPr>
              <w:t>Comment/explanation</w:t>
            </w:r>
          </w:p>
        </w:tc>
      </w:tr>
      <w:tr w:rsidR="00EA65BD" w:rsidRPr="006B414D" w14:paraId="0FA532F9" w14:textId="77777777" w:rsidTr="00777F55">
        <w:tc>
          <w:tcPr>
            <w:tcW w:w="233" w:type="pct"/>
          </w:tcPr>
          <w:p w14:paraId="6C522796"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26C597FC" w14:textId="7C0A158F" w:rsidR="00EA65BD" w:rsidRPr="006B414D" w:rsidRDefault="00EA65BD" w:rsidP="00777F55">
            <w:pPr>
              <w:rPr>
                <w:rFonts w:cs="Arial"/>
                <w:lang w:val="en-GB"/>
              </w:rPr>
            </w:pPr>
            <w:r w:rsidRPr="006B414D">
              <w:rPr>
                <w:rFonts w:cs="Arial"/>
                <w:lang w:val="en-GB"/>
              </w:rPr>
              <w:t xml:space="preserve">Does the result measured by the indicator fall under the </w:t>
            </w:r>
            <w:r w:rsidRPr="006B414D">
              <w:rPr>
                <w:rFonts w:cs="Arial"/>
                <w:b/>
                <w:bCs/>
                <w:lang w:val="en-GB"/>
              </w:rPr>
              <w:t>sphere of control</w:t>
            </w:r>
            <w:r w:rsidRPr="006B414D">
              <w:rPr>
                <w:rFonts w:cs="Arial"/>
                <w:lang w:val="en-GB"/>
              </w:rPr>
              <w:t xml:space="preserve"> of the </w:t>
            </w:r>
            <w:r w:rsidR="008F5C14" w:rsidRPr="006B414D">
              <w:rPr>
                <w:rFonts w:cs="Arial"/>
                <w:lang w:val="en-GB"/>
              </w:rPr>
              <w:t>beneficiary and target groups</w:t>
            </w:r>
            <w:r w:rsidRPr="006B414D">
              <w:rPr>
                <w:rFonts w:cs="Arial"/>
                <w:lang w:val="en-GB"/>
              </w:rPr>
              <w:t xml:space="preserve"> (output)?</w:t>
            </w:r>
          </w:p>
        </w:tc>
        <w:tc>
          <w:tcPr>
            <w:tcW w:w="505" w:type="pct"/>
          </w:tcPr>
          <w:p w14:paraId="05646702" w14:textId="77777777" w:rsidR="00EA65BD" w:rsidRPr="006B414D" w:rsidRDefault="00EA65BD" w:rsidP="002217C7">
            <w:pPr>
              <w:jc w:val="center"/>
              <w:rPr>
                <w:rFonts w:cs="Arial"/>
                <w:lang w:val="en-GB"/>
              </w:rPr>
            </w:pPr>
          </w:p>
        </w:tc>
        <w:tc>
          <w:tcPr>
            <w:tcW w:w="1683" w:type="pct"/>
          </w:tcPr>
          <w:p w14:paraId="77D05DA3" w14:textId="77777777" w:rsidR="00EA65BD" w:rsidRPr="006B414D" w:rsidRDefault="00EA65BD" w:rsidP="00777F55">
            <w:pPr>
              <w:rPr>
                <w:rFonts w:cs="Arial"/>
                <w:lang w:val="en-GB"/>
              </w:rPr>
            </w:pPr>
            <w:r w:rsidRPr="006B414D">
              <w:rPr>
                <w:rFonts w:cs="Arial"/>
                <w:lang w:val="en-GB"/>
              </w:rPr>
              <w:t>Output level indicators are less risky</w:t>
            </w:r>
          </w:p>
        </w:tc>
      </w:tr>
      <w:tr w:rsidR="00EA65BD" w:rsidRPr="006B414D" w14:paraId="59439BAE" w14:textId="77777777" w:rsidTr="00777F55">
        <w:tc>
          <w:tcPr>
            <w:tcW w:w="233" w:type="pct"/>
          </w:tcPr>
          <w:p w14:paraId="4FA13E91"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77EA1EC8" w14:textId="5A0C1D2C" w:rsidR="00EA65BD" w:rsidRPr="006B414D" w:rsidRDefault="00EA65BD" w:rsidP="00777F55">
            <w:pPr>
              <w:rPr>
                <w:rFonts w:cs="Arial"/>
                <w:lang w:val="en-GB"/>
              </w:rPr>
            </w:pPr>
            <w:r w:rsidRPr="006B414D">
              <w:rPr>
                <w:rFonts w:cs="Arial"/>
                <w:lang w:val="en-GB"/>
              </w:rPr>
              <w:t xml:space="preserve">Does the result measured by the indicator fall under the </w:t>
            </w:r>
            <w:r w:rsidRPr="006B414D">
              <w:rPr>
                <w:rFonts w:cs="Arial"/>
                <w:b/>
                <w:bCs/>
                <w:lang w:val="en-GB"/>
              </w:rPr>
              <w:t>sphere of direct influence</w:t>
            </w:r>
            <w:r w:rsidRPr="006B414D">
              <w:rPr>
                <w:rFonts w:cs="Arial"/>
                <w:lang w:val="en-GB"/>
              </w:rPr>
              <w:t xml:space="preserve"> of the </w:t>
            </w:r>
            <w:r w:rsidR="008F5C14" w:rsidRPr="006B414D">
              <w:rPr>
                <w:rFonts w:cs="Arial"/>
                <w:lang w:val="en-GB"/>
              </w:rPr>
              <w:t>beneficiary and target groups</w:t>
            </w:r>
            <w:r w:rsidRPr="006B414D">
              <w:rPr>
                <w:rFonts w:cs="Arial"/>
                <w:lang w:val="en-GB"/>
              </w:rPr>
              <w:t xml:space="preserve"> (outcome)</w:t>
            </w:r>
          </w:p>
        </w:tc>
        <w:tc>
          <w:tcPr>
            <w:tcW w:w="505" w:type="pct"/>
          </w:tcPr>
          <w:p w14:paraId="6BABE440" w14:textId="77777777" w:rsidR="00EA65BD" w:rsidRPr="006B414D" w:rsidRDefault="00EA65BD" w:rsidP="002217C7">
            <w:pPr>
              <w:jc w:val="center"/>
              <w:rPr>
                <w:rFonts w:cs="Arial"/>
                <w:lang w:val="en-GB"/>
              </w:rPr>
            </w:pPr>
          </w:p>
        </w:tc>
        <w:tc>
          <w:tcPr>
            <w:tcW w:w="1683" w:type="pct"/>
          </w:tcPr>
          <w:p w14:paraId="3C60665C" w14:textId="77777777" w:rsidR="00EA65BD" w:rsidRPr="006B414D" w:rsidRDefault="00EA65BD" w:rsidP="00777F55">
            <w:pPr>
              <w:rPr>
                <w:rFonts w:cs="Arial"/>
                <w:lang w:val="en-GB"/>
              </w:rPr>
            </w:pPr>
            <w:r w:rsidRPr="006B414D">
              <w:rPr>
                <w:rFonts w:cs="Arial"/>
                <w:lang w:val="en-GB"/>
              </w:rPr>
              <w:t xml:space="preserve">Outcome level indicators are riskier – but embed the incentive to achieve a </w:t>
            </w:r>
            <w:proofErr w:type="gramStart"/>
            <w:r w:rsidRPr="006B414D">
              <w:rPr>
                <w:rFonts w:cs="Arial"/>
                <w:lang w:val="en-GB"/>
              </w:rPr>
              <w:t>higher level</w:t>
            </w:r>
            <w:proofErr w:type="gramEnd"/>
            <w:r w:rsidRPr="006B414D">
              <w:rPr>
                <w:rFonts w:cs="Arial"/>
                <w:lang w:val="en-GB"/>
              </w:rPr>
              <w:t xml:space="preserve"> result</w:t>
            </w:r>
          </w:p>
        </w:tc>
      </w:tr>
      <w:tr w:rsidR="00EA65BD" w:rsidRPr="006B414D" w14:paraId="42B2FF0D" w14:textId="77777777" w:rsidTr="00777F55">
        <w:tc>
          <w:tcPr>
            <w:tcW w:w="233" w:type="pct"/>
          </w:tcPr>
          <w:p w14:paraId="11B84E43"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669F10F7" w14:textId="26266CE4" w:rsidR="00EA65BD" w:rsidRPr="006B414D" w:rsidRDefault="00EA65BD" w:rsidP="00777F55">
            <w:pPr>
              <w:rPr>
                <w:rFonts w:cs="Arial"/>
                <w:lang w:val="en-GB"/>
              </w:rPr>
            </w:pPr>
            <w:r w:rsidRPr="006B414D">
              <w:rPr>
                <w:rFonts w:cs="Arial"/>
                <w:lang w:val="en-GB"/>
              </w:rPr>
              <w:t xml:space="preserve">Can the </w:t>
            </w:r>
            <w:r w:rsidR="008F5C14" w:rsidRPr="006B414D">
              <w:rPr>
                <w:rFonts w:cs="Arial"/>
                <w:lang w:val="en-GB"/>
              </w:rPr>
              <w:t>beneficiary</w:t>
            </w:r>
            <w:r w:rsidRPr="006B414D">
              <w:rPr>
                <w:rFonts w:cs="Arial"/>
                <w:lang w:val="en-GB"/>
              </w:rPr>
              <w:t xml:space="preserve"> be reasonably held </w:t>
            </w:r>
            <w:r w:rsidRPr="006B414D">
              <w:rPr>
                <w:rFonts w:cs="Arial"/>
                <w:b/>
                <w:bCs/>
                <w:lang w:val="en-GB"/>
              </w:rPr>
              <w:t>accountable</w:t>
            </w:r>
            <w:r w:rsidRPr="006B414D">
              <w:rPr>
                <w:rFonts w:cs="Arial"/>
                <w:lang w:val="en-GB"/>
              </w:rPr>
              <w:t xml:space="preserve"> for the delivery or achievement of the result measured by the indicator? (see check 1)</w:t>
            </w:r>
          </w:p>
        </w:tc>
        <w:tc>
          <w:tcPr>
            <w:tcW w:w="505" w:type="pct"/>
          </w:tcPr>
          <w:p w14:paraId="7F5ACF82" w14:textId="77777777" w:rsidR="00EA65BD" w:rsidRPr="006B414D" w:rsidRDefault="00EA65BD" w:rsidP="002217C7">
            <w:pPr>
              <w:jc w:val="center"/>
              <w:rPr>
                <w:rFonts w:cs="Arial"/>
                <w:lang w:val="en-GB"/>
              </w:rPr>
            </w:pPr>
          </w:p>
        </w:tc>
        <w:tc>
          <w:tcPr>
            <w:tcW w:w="1683" w:type="pct"/>
          </w:tcPr>
          <w:p w14:paraId="59D7B120" w14:textId="77777777" w:rsidR="00EA65BD" w:rsidRPr="006B414D" w:rsidRDefault="00EA65BD" w:rsidP="00777F55">
            <w:pPr>
              <w:rPr>
                <w:rFonts w:cs="Arial"/>
                <w:lang w:val="en-GB"/>
              </w:rPr>
            </w:pPr>
            <w:r w:rsidRPr="006B414D">
              <w:rPr>
                <w:rFonts w:cs="Arial"/>
                <w:u w:val="single"/>
                <w:lang w:val="en-GB"/>
              </w:rPr>
              <w:t>If yes</w:t>
            </w:r>
            <w:r w:rsidRPr="006B414D">
              <w:rPr>
                <w:rFonts w:cs="Arial"/>
                <w:lang w:val="en-GB"/>
              </w:rPr>
              <w:t>, the risk of not achievement is mitigated and FNLC could be used</w:t>
            </w:r>
          </w:p>
        </w:tc>
      </w:tr>
      <w:tr w:rsidR="00EA65BD" w:rsidRPr="006B414D" w14:paraId="0E13B975" w14:textId="77777777" w:rsidTr="00777F55">
        <w:tc>
          <w:tcPr>
            <w:tcW w:w="233" w:type="pct"/>
          </w:tcPr>
          <w:p w14:paraId="67EF7B2C"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695544F0" w14:textId="73F60E9A" w:rsidR="00EA65BD" w:rsidRPr="006B414D" w:rsidRDefault="00EA65BD" w:rsidP="00777F55">
            <w:pPr>
              <w:rPr>
                <w:rFonts w:cs="Arial"/>
                <w:lang w:val="en-GB"/>
              </w:rPr>
            </w:pPr>
            <w:r w:rsidRPr="006B414D">
              <w:rPr>
                <w:rFonts w:cs="Arial"/>
                <w:lang w:val="en-GB"/>
              </w:rPr>
              <w:t xml:space="preserve">Is the indicator </w:t>
            </w:r>
            <w:r w:rsidRPr="006B414D">
              <w:rPr>
                <w:rFonts w:cs="Arial"/>
                <w:b/>
                <w:bCs/>
                <w:lang w:val="en-GB"/>
              </w:rPr>
              <w:t>closely linked</w:t>
            </w:r>
            <w:r w:rsidRPr="006B414D">
              <w:rPr>
                <w:rFonts w:cs="Arial"/>
                <w:lang w:val="en-GB"/>
              </w:rPr>
              <w:t xml:space="preserve"> to the result (output or outcome) it is intended to measure?</w:t>
            </w:r>
          </w:p>
        </w:tc>
        <w:tc>
          <w:tcPr>
            <w:tcW w:w="505" w:type="pct"/>
          </w:tcPr>
          <w:p w14:paraId="074291FE" w14:textId="77777777" w:rsidR="00EA65BD" w:rsidRPr="006B414D" w:rsidRDefault="00EA65BD" w:rsidP="002217C7">
            <w:pPr>
              <w:jc w:val="center"/>
              <w:rPr>
                <w:rFonts w:cs="Arial"/>
                <w:lang w:val="en-GB"/>
              </w:rPr>
            </w:pPr>
          </w:p>
        </w:tc>
        <w:tc>
          <w:tcPr>
            <w:tcW w:w="1683" w:type="pct"/>
          </w:tcPr>
          <w:p w14:paraId="1FE778D8" w14:textId="77777777" w:rsidR="00EA65BD" w:rsidRPr="006B414D" w:rsidRDefault="00EA65BD" w:rsidP="00777F55">
            <w:pPr>
              <w:rPr>
                <w:rFonts w:cs="Arial"/>
                <w:lang w:val="en-GB"/>
              </w:rPr>
            </w:pPr>
            <w:r w:rsidRPr="006B414D">
              <w:rPr>
                <w:rFonts w:cs="Arial"/>
                <w:u w:val="single"/>
                <w:lang w:val="en-GB"/>
              </w:rPr>
              <w:t>If not</w:t>
            </w:r>
            <w:r w:rsidRPr="006B414D">
              <w:rPr>
                <w:rFonts w:cs="Arial"/>
                <w:lang w:val="en-GB"/>
              </w:rPr>
              <w:t>, please make sure the indicator fits the purpose of measuring the related output/outcome</w:t>
            </w:r>
          </w:p>
        </w:tc>
      </w:tr>
      <w:tr w:rsidR="00EA65BD" w:rsidRPr="006B414D" w14:paraId="558A1BAD" w14:textId="77777777" w:rsidTr="00777F55">
        <w:tc>
          <w:tcPr>
            <w:tcW w:w="233" w:type="pct"/>
          </w:tcPr>
          <w:p w14:paraId="25BE7FD1"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183A4540" w14:textId="77E38E9A" w:rsidR="00EA65BD" w:rsidRPr="006B414D" w:rsidRDefault="00EA65BD" w:rsidP="00777F55">
            <w:pPr>
              <w:rPr>
                <w:rFonts w:cs="Arial"/>
                <w:lang w:val="en-GB"/>
              </w:rPr>
            </w:pPr>
            <w:r w:rsidRPr="006B414D">
              <w:rPr>
                <w:rFonts w:cs="Arial"/>
                <w:lang w:val="en-GB"/>
              </w:rPr>
              <w:t xml:space="preserve">Is the indicator phrased in a </w:t>
            </w:r>
            <w:r w:rsidRPr="006B414D">
              <w:rPr>
                <w:rFonts w:cs="Arial"/>
                <w:b/>
                <w:bCs/>
                <w:lang w:val="en-GB"/>
              </w:rPr>
              <w:t>neutral</w:t>
            </w:r>
            <w:r w:rsidRPr="006B414D">
              <w:rPr>
                <w:rFonts w:cs="Arial"/>
                <w:lang w:val="en-GB"/>
              </w:rPr>
              <w:t xml:space="preserve"> (no direction of change) and </w:t>
            </w:r>
            <w:r w:rsidRPr="006B414D">
              <w:rPr>
                <w:rFonts w:cs="Arial"/>
                <w:b/>
                <w:bCs/>
                <w:lang w:val="en-GB"/>
              </w:rPr>
              <w:t>unambiguous way</w:t>
            </w:r>
            <w:r w:rsidRPr="006B414D">
              <w:rPr>
                <w:rFonts w:cs="Arial"/>
                <w:lang w:val="en-GB"/>
              </w:rPr>
              <w:t xml:space="preserve"> (is it clearly formulated and do all parties have the exact same understanding of what it means)?</w:t>
            </w:r>
          </w:p>
        </w:tc>
        <w:tc>
          <w:tcPr>
            <w:tcW w:w="505" w:type="pct"/>
          </w:tcPr>
          <w:p w14:paraId="0E7F774D" w14:textId="77777777" w:rsidR="00EA65BD" w:rsidRPr="006B414D" w:rsidRDefault="00EA65BD" w:rsidP="002217C7">
            <w:pPr>
              <w:jc w:val="center"/>
              <w:rPr>
                <w:rFonts w:cs="Arial"/>
                <w:lang w:val="en-GB"/>
              </w:rPr>
            </w:pPr>
          </w:p>
        </w:tc>
        <w:tc>
          <w:tcPr>
            <w:tcW w:w="1683" w:type="pct"/>
          </w:tcPr>
          <w:p w14:paraId="4B1090A6" w14:textId="77777777" w:rsidR="00EA65BD" w:rsidRPr="006B414D" w:rsidRDefault="00EA65BD" w:rsidP="00777F55">
            <w:pPr>
              <w:rPr>
                <w:rFonts w:cs="Arial"/>
                <w:lang w:val="en-GB"/>
              </w:rPr>
            </w:pPr>
            <w:r w:rsidRPr="006B414D">
              <w:rPr>
                <w:rFonts w:cs="Arial"/>
                <w:u w:val="single"/>
                <w:lang w:val="en-GB"/>
              </w:rPr>
              <w:t>If not</w:t>
            </w:r>
            <w:r w:rsidRPr="006B414D">
              <w:rPr>
                <w:rFonts w:cs="Arial"/>
                <w:lang w:val="en-GB"/>
              </w:rPr>
              <w:t>, please rephrase it</w:t>
            </w:r>
          </w:p>
        </w:tc>
      </w:tr>
      <w:tr w:rsidR="00EA65BD" w:rsidRPr="006B414D" w14:paraId="653F6D2E" w14:textId="77777777" w:rsidTr="00777F55">
        <w:tc>
          <w:tcPr>
            <w:tcW w:w="233" w:type="pct"/>
          </w:tcPr>
          <w:p w14:paraId="2E54A0DA"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7FAB9F56" w14:textId="63DD3A0A" w:rsidR="00EA65BD" w:rsidRPr="006B414D" w:rsidRDefault="00EA65BD" w:rsidP="00777F55">
            <w:pPr>
              <w:rPr>
                <w:rFonts w:cs="Arial"/>
                <w:lang w:val="en-GB"/>
              </w:rPr>
            </w:pPr>
            <w:r w:rsidRPr="006B414D">
              <w:rPr>
                <w:rFonts w:cs="Arial"/>
                <w:lang w:val="en-GB"/>
              </w:rPr>
              <w:t xml:space="preserve">Is the indicator accompanied by reliable </w:t>
            </w:r>
            <w:r w:rsidRPr="006B414D">
              <w:rPr>
                <w:rFonts w:cs="Arial"/>
                <w:b/>
                <w:bCs/>
                <w:lang w:val="en-GB"/>
              </w:rPr>
              <w:t>baselines</w:t>
            </w:r>
            <w:r w:rsidRPr="006B414D">
              <w:rPr>
                <w:rFonts w:cs="Arial"/>
                <w:lang w:val="en-GB"/>
              </w:rPr>
              <w:t xml:space="preserve"> (with respective years) and sufficiently ambitious but achievable </w:t>
            </w:r>
            <w:r w:rsidRPr="006B414D">
              <w:rPr>
                <w:rFonts w:cs="Arial"/>
                <w:b/>
                <w:bCs/>
                <w:lang w:val="en-GB"/>
              </w:rPr>
              <w:t>targets</w:t>
            </w:r>
            <w:r w:rsidRPr="006B414D">
              <w:rPr>
                <w:rFonts w:cs="Arial"/>
                <w:lang w:val="en-GB"/>
              </w:rPr>
              <w:t xml:space="preserve"> (with reference years)?</w:t>
            </w:r>
          </w:p>
        </w:tc>
        <w:tc>
          <w:tcPr>
            <w:tcW w:w="505" w:type="pct"/>
          </w:tcPr>
          <w:p w14:paraId="760CA5C4" w14:textId="77777777" w:rsidR="00EA65BD" w:rsidRPr="006B414D" w:rsidRDefault="00EA65BD" w:rsidP="002217C7">
            <w:pPr>
              <w:jc w:val="center"/>
              <w:rPr>
                <w:rFonts w:cs="Arial"/>
                <w:lang w:val="en-GB"/>
              </w:rPr>
            </w:pPr>
          </w:p>
        </w:tc>
        <w:tc>
          <w:tcPr>
            <w:tcW w:w="1683" w:type="pct"/>
          </w:tcPr>
          <w:p w14:paraId="5E405666" w14:textId="77777777" w:rsidR="00EA65BD" w:rsidRPr="006B414D" w:rsidRDefault="00EA65BD" w:rsidP="00777F55">
            <w:pPr>
              <w:rPr>
                <w:rFonts w:cs="Arial"/>
                <w:lang w:val="en-GB"/>
              </w:rPr>
            </w:pPr>
            <w:r w:rsidRPr="006B414D">
              <w:rPr>
                <w:rFonts w:cs="Arial"/>
                <w:u w:val="single"/>
                <w:lang w:val="en-GB"/>
              </w:rPr>
              <w:t>If not</w:t>
            </w:r>
            <w:r w:rsidRPr="006B414D">
              <w:rPr>
                <w:rFonts w:cs="Arial"/>
                <w:lang w:val="en-GB"/>
              </w:rPr>
              <w:t>, please add them. The indicators are not “contractable” without baseline and target</w:t>
            </w:r>
          </w:p>
        </w:tc>
      </w:tr>
      <w:tr w:rsidR="00EA65BD" w:rsidRPr="006B414D" w14:paraId="0659B1AB" w14:textId="77777777" w:rsidTr="00777F55">
        <w:tc>
          <w:tcPr>
            <w:tcW w:w="233" w:type="pct"/>
          </w:tcPr>
          <w:p w14:paraId="4D4C6DA7"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081787BF" w14:textId="13774DFA" w:rsidR="00EA65BD" w:rsidRPr="006B414D" w:rsidRDefault="00EA65BD" w:rsidP="00777F55">
            <w:pPr>
              <w:rPr>
                <w:rFonts w:cs="Arial"/>
                <w:lang w:val="en-GB"/>
              </w:rPr>
            </w:pPr>
            <w:r w:rsidRPr="006B414D">
              <w:rPr>
                <w:rFonts w:cs="Arial"/>
                <w:lang w:val="en-GB"/>
              </w:rPr>
              <w:t xml:space="preserve">Does the indicator need to be further specified through </w:t>
            </w:r>
            <w:r w:rsidRPr="006B414D">
              <w:rPr>
                <w:rFonts w:cs="Arial"/>
                <w:b/>
                <w:bCs/>
                <w:lang w:val="en-GB"/>
              </w:rPr>
              <w:t>technical specifications</w:t>
            </w:r>
            <w:r w:rsidRPr="006B414D">
              <w:rPr>
                <w:rFonts w:cs="Arial"/>
                <w:lang w:val="en-GB"/>
              </w:rPr>
              <w:t xml:space="preserve">, </w:t>
            </w:r>
            <w:r w:rsidRPr="006B414D">
              <w:rPr>
                <w:rFonts w:cs="Arial"/>
                <w:b/>
                <w:bCs/>
                <w:lang w:val="en-GB"/>
              </w:rPr>
              <w:t>standards</w:t>
            </w:r>
            <w:r w:rsidRPr="006B414D">
              <w:rPr>
                <w:rFonts w:cs="Arial"/>
                <w:lang w:val="en-GB"/>
              </w:rPr>
              <w:t>?</w:t>
            </w:r>
          </w:p>
        </w:tc>
        <w:tc>
          <w:tcPr>
            <w:tcW w:w="505" w:type="pct"/>
          </w:tcPr>
          <w:p w14:paraId="09BF6955" w14:textId="77777777" w:rsidR="00EA65BD" w:rsidRPr="006B414D" w:rsidRDefault="00EA65BD" w:rsidP="002217C7">
            <w:pPr>
              <w:jc w:val="center"/>
              <w:rPr>
                <w:rFonts w:cs="Arial"/>
                <w:lang w:val="en-GB"/>
              </w:rPr>
            </w:pPr>
          </w:p>
        </w:tc>
        <w:tc>
          <w:tcPr>
            <w:tcW w:w="1683" w:type="pct"/>
          </w:tcPr>
          <w:p w14:paraId="0F38852C" w14:textId="2141E40D" w:rsidR="00EA65BD" w:rsidRPr="006B414D" w:rsidRDefault="00EA65BD" w:rsidP="00777F55">
            <w:pPr>
              <w:rPr>
                <w:rFonts w:cs="Arial"/>
                <w:lang w:val="en-GB"/>
              </w:rPr>
            </w:pPr>
            <w:r w:rsidRPr="006B414D">
              <w:rPr>
                <w:rFonts w:cs="Arial"/>
                <w:u w:val="single"/>
                <w:lang w:val="en-GB"/>
              </w:rPr>
              <w:t>If yes</w:t>
            </w:r>
            <w:r w:rsidRPr="006B414D">
              <w:rPr>
                <w:rFonts w:cs="Arial"/>
                <w:lang w:val="en-GB"/>
              </w:rPr>
              <w:t xml:space="preserve">, make sure that technical specifications / standards are mentioned in </w:t>
            </w:r>
            <w:r w:rsidR="00873300" w:rsidRPr="006B414D">
              <w:rPr>
                <w:rFonts w:cs="Arial"/>
                <w:lang w:val="en-GB"/>
              </w:rPr>
              <w:t>the application and if needed please add Appendixes to provide further specifications</w:t>
            </w:r>
            <w:r w:rsidRPr="006B414D">
              <w:rPr>
                <w:rFonts w:cs="Arial"/>
                <w:lang w:val="en-GB"/>
              </w:rPr>
              <w:t xml:space="preserve"> </w:t>
            </w:r>
          </w:p>
        </w:tc>
      </w:tr>
      <w:tr w:rsidR="00EA65BD" w:rsidRPr="006B414D" w14:paraId="647B4CA3" w14:textId="77777777" w:rsidTr="00777F55">
        <w:tc>
          <w:tcPr>
            <w:tcW w:w="233" w:type="pct"/>
          </w:tcPr>
          <w:p w14:paraId="3A01A7F1"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6C949294" w14:textId="77D6929F" w:rsidR="00EA65BD" w:rsidRPr="006B414D" w:rsidRDefault="00EA65BD" w:rsidP="00777F55">
            <w:pPr>
              <w:rPr>
                <w:rFonts w:cs="Arial"/>
                <w:lang w:val="en-GB"/>
              </w:rPr>
            </w:pPr>
            <w:r w:rsidRPr="006B414D">
              <w:rPr>
                <w:rFonts w:cs="Arial"/>
                <w:lang w:val="en-GB"/>
              </w:rPr>
              <w:t xml:space="preserve">Are the </w:t>
            </w:r>
            <w:r w:rsidRPr="006B414D">
              <w:rPr>
                <w:rFonts w:cs="Arial"/>
                <w:b/>
                <w:bCs/>
                <w:lang w:val="en-GB"/>
              </w:rPr>
              <w:t>sources of data clearly stated</w:t>
            </w:r>
            <w:r w:rsidRPr="006B414D">
              <w:rPr>
                <w:rFonts w:cs="Arial"/>
                <w:lang w:val="en-GB"/>
              </w:rPr>
              <w:t xml:space="preserve"> in the </w:t>
            </w:r>
            <w:proofErr w:type="spellStart"/>
            <w:r w:rsidRPr="006B414D">
              <w:rPr>
                <w:rFonts w:cs="Arial"/>
                <w:lang w:val="en-GB"/>
              </w:rPr>
              <w:t>logframe</w:t>
            </w:r>
            <w:proofErr w:type="spellEnd"/>
            <w:r w:rsidRPr="006B414D">
              <w:rPr>
                <w:rFonts w:cs="Arial"/>
                <w:lang w:val="en-GB"/>
              </w:rPr>
              <w:t xml:space="preserve"> in relation to </w:t>
            </w:r>
            <w:r w:rsidRPr="006B414D">
              <w:rPr>
                <w:rFonts w:cs="Arial"/>
                <w:b/>
                <w:bCs/>
                <w:lang w:val="en-GB"/>
              </w:rPr>
              <w:t>each indicator</w:t>
            </w:r>
            <w:r w:rsidRPr="006B414D">
              <w:rPr>
                <w:rFonts w:cs="Arial"/>
                <w:lang w:val="en-GB"/>
              </w:rPr>
              <w:t>?</w:t>
            </w:r>
          </w:p>
        </w:tc>
        <w:tc>
          <w:tcPr>
            <w:tcW w:w="505" w:type="pct"/>
          </w:tcPr>
          <w:p w14:paraId="1AC8234A" w14:textId="77777777" w:rsidR="00EA65BD" w:rsidRPr="006B414D" w:rsidRDefault="00EA65BD" w:rsidP="002217C7">
            <w:pPr>
              <w:jc w:val="center"/>
              <w:rPr>
                <w:rFonts w:cs="Arial"/>
                <w:lang w:val="en-GB"/>
              </w:rPr>
            </w:pPr>
          </w:p>
        </w:tc>
        <w:tc>
          <w:tcPr>
            <w:tcW w:w="1683" w:type="pct"/>
          </w:tcPr>
          <w:p w14:paraId="0AFE9A8A" w14:textId="77777777" w:rsidR="00EA65BD" w:rsidRPr="006B414D" w:rsidRDefault="00EA65BD" w:rsidP="00777F55">
            <w:pPr>
              <w:rPr>
                <w:rFonts w:cs="Arial"/>
                <w:lang w:val="en-GB"/>
              </w:rPr>
            </w:pPr>
            <w:r w:rsidRPr="006B414D">
              <w:rPr>
                <w:rFonts w:cs="Arial"/>
                <w:lang w:val="en-GB"/>
              </w:rPr>
              <w:t xml:space="preserve">The source of data is of utmost importance to validate the achievement of the result. </w:t>
            </w:r>
            <w:r w:rsidRPr="006B414D">
              <w:rPr>
                <w:rFonts w:cs="Arial"/>
                <w:u w:val="single"/>
                <w:lang w:val="en-GB"/>
              </w:rPr>
              <w:t>If not</w:t>
            </w:r>
            <w:r w:rsidRPr="006B414D">
              <w:rPr>
                <w:rFonts w:cs="Arial"/>
                <w:lang w:val="en-GB"/>
              </w:rPr>
              <w:t xml:space="preserve"> clearly stated, please add data sources. </w:t>
            </w:r>
          </w:p>
        </w:tc>
      </w:tr>
      <w:tr w:rsidR="00EA65BD" w:rsidRPr="006B414D" w14:paraId="17D09E21" w14:textId="77777777" w:rsidTr="00777F55">
        <w:tc>
          <w:tcPr>
            <w:tcW w:w="233" w:type="pct"/>
          </w:tcPr>
          <w:p w14:paraId="6938055E"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2532E687" w14:textId="5E29FE45" w:rsidR="00EA65BD" w:rsidRPr="006B414D" w:rsidRDefault="00EA65BD" w:rsidP="00777F55">
            <w:pPr>
              <w:rPr>
                <w:rFonts w:cs="Arial"/>
                <w:lang w:val="en-GB"/>
              </w:rPr>
            </w:pPr>
            <w:r w:rsidRPr="006B414D">
              <w:rPr>
                <w:rFonts w:cs="Arial"/>
                <w:lang w:val="en-GB"/>
              </w:rPr>
              <w:t xml:space="preserve">Do the </w:t>
            </w:r>
            <w:r w:rsidRPr="006B414D">
              <w:rPr>
                <w:rFonts w:cs="Arial"/>
                <w:b/>
                <w:bCs/>
                <w:lang w:val="en-GB"/>
              </w:rPr>
              <w:t>data sources</w:t>
            </w:r>
            <w:r w:rsidRPr="006B414D">
              <w:rPr>
                <w:rFonts w:cs="Arial"/>
                <w:lang w:val="en-GB"/>
              </w:rPr>
              <w:t xml:space="preserve"> mentioned already </w:t>
            </w:r>
            <w:r w:rsidRPr="006B414D">
              <w:rPr>
                <w:rFonts w:cs="Arial"/>
                <w:b/>
                <w:bCs/>
                <w:lang w:val="en-GB"/>
              </w:rPr>
              <w:t>exist</w:t>
            </w:r>
            <w:r w:rsidRPr="006B414D">
              <w:rPr>
                <w:rFonts w:cs="Arial"/>
                <w:lang w:val="en-GB"/>
              </w:rPr>
              <w:t xml:space="preserve"> and are they </w:t>
            </w:r>
            <w:r w:rsidRPr="006B414D">
              <w:rPr>
                <w:rFonts w:cs="Arial"/>
                <w:b/>
                <w:bCs/>
                <w:lang w:val="en-GB"/>
              </w:rPr>
              <w:t>reliable</w:t>
            </w:r>
            <w:r w:rsidRPr="006B414D">
              <w:rPr>
                <w:rFonts w:cs="Arial"/>
                <w:lang w:val="en-GB"/>
              </w:rPr>
              <w:t>?</w:t>
            </w:r>
          </w:p>
        </w:tc>
        <w:tc>
          <w:tcPr>
            <w:tcW w:w="505" w:type="pct"/>
          </w:tcPr>
          <w:p w14:paraId="2CC29ACB" w14:textId="77777777" w:rsidR="00EA65BD" w:rsidRPr="006B414D" w:rsidRDefault="00EA65BD" w:rsidP="002217C7">
            <w:pPr>
              <w:jc w:val="center"/>
              <w:rPr>
                <w:rFonts w:cs="Arial"/>
                <w:lang w:val="en-GB"/>
              </w:rPr>
            </w:pPr>
          </w:p>
        </w:tc>
        <w:tc>
          <w:tcPr>
            <w:tcW w:w="1683" w:type="pct"/>
          </w:tcPr>
          <w:p w14:paraId="40B917BE" w14:textId="77777777" w:rsidR="00EA65BD" w:rsidRPr="006B414D" w:rsidRDefault="00EA65BD" w:rsidP="00777F55">
            <w:pPr>
              <w:rPr>
                <w:rFonts w:cs="Arial"/>
                <w:lang w:val="en-GB"/>
              </w:rPr>
            </w:pPr>
            <w:r w:rsidRPr="006B414D">
              <w:rPr>
                <w:rFonts w:cs="Arial"/>
                <w:u w:val="single"/>
                <w:lang w:val="en-GB"/>
              </w:rPr>
              <w:t>If not</w:t>
            </w:r>
            <w:r w:rsidRPr="006B414D">
              <w:rPr>
                <w:rFonts w:cs="Arial"/>
                <w:lang w:val="en-GB"/>
              </w:rPr>
              <w:t>, see point below</w:t>
            </w:r>
          </w:p>
        </w:tc>
      </w:tr>
      <w:tr w:rsidR="00EA65BD" w:rsidRPr="006B414D" w14:paraId="0E8E5441" w14:textId="77777777" w:rsidTr="00777F55">
        <w:tc>
          <w:tcPr>
            <w:tcW w:w="233" w:type="pct"/>
          </w:tcPr>
          <w:p w14:paraId="394F241E"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2C295B5B" w14:textId="77777777" w:rsidR="00EA65BD" w:rsidRPr="006B414D" w:rsidRDefault="00EA65BD" w:rsidP="00777F55">
            <w:pPr>
              <w:rPr>
                <w:rFonts w:cs="Arial"/>
                <w:lang w:val="en-GB"/>
              </w:rPr>
            </w:pPr>
            <w:r w:rsidRPr="006B414D">
              <w:rPr>
                <w:rFonts w:cs="Arial"/>
                <w:lang w:val="en-GB"/>
              </w:rPr>
              <w:t xml:space="preserve">If not, have </w:t>
            </w:r>
            <w:r w:rsidRPr="006B414D">
              <w:rPr>
                <w:rFonts w:cs="Arial"/>
                <w:b/>
                <w:bCs/>
                <w:lang w:val="en-GB"/>
              </w:rPr>
              <w:t>additional tools</w:t>
            </w:r>
            <w:r w:rsidRPr="006B414D">
              <w:rPr>
                <w:rFonts w:cs="Arial"/>
                <w:lang w:val="en-GB"/>
              </w:rPr>
              <w:t xml:space="preserve"> to collect the data needed to inform the indicator been devised? </w:t>
            </w:r>
          </w:p>
        </w:tc>
        <w:tc>
          <w:tcPr>
            <w:tcW w:w="505" w:type="pct"/>
          </w:tcPr>
          <w:p w14:paraId="49A27E56" w14:textId="77777777" w:rsidR="00EA65BD" w:rsidRPr="006B414D" w:rsidRDefault="00EA65BD" w:rsidP="00777F55">
            <w:pPr>
              <w:rPr>
                <w:rFonts w:cs="Arial"/>
                <w:lang w:val="en-GB"/>
              </w:rPr>
            </w:pPr>
          </w:p>
        </w:tc>
        <w:tc>
          <w:tcPr>
            <w:tcW w:w="1683" w:type="pct"/>
          </w:tcPr>
          <w:p w14:paraId="79D57FA2" w14:textId="77777777" w:rsidR="00EA65BD" w:rsidRPr="006B414D" w:rsidRDefault="00EA65BD" w:rsidP="00777F55">
            <w:pPr>
              <w:rPr>
                <w:rFonts w:cs="Arial"/>
                <w:lang w:val="en-GB"/>
              </w:rPr>
            </w:pPr>
            <w:r w:rsidRPr="006B414D">
              <w:rPr>
                <w:rFonts w:cs="Arial"/>
                <w:u w:val="single"/>
                <w:lang w:val="en-GB"/>
              </w:rPr>
              <w:t>If not</w:t>
            </w:r>
            <w:r w:rsidRPr="006B414D">
              <w:rPr>
                <w:rFonts w:cs="Arial"/>
                <w:lang w:val="en-GB"/>
              </w:rPr>
              <w:t xml:space="preserve">, ad hoc data collection tools (e.g. </w:t>
            </w:r>
            <w:r w:rsidRPr="006B414D">
              <w:rPr>
                <w:rFonts w:cs="Arial"/>
                <w:i/>
                <w:iCs/>
                <w:lang w:val="en-GB"/>
              </w:rPr>
              <w:t>ad hoc</w:t>
            </w:r>
            <w:r w:rsidRPr="006B414D">
              <w:rPr>
                <w:rFonts w:cs="Arial"/>
                <w:lang w:val="en-GB"/>
              </w:rPr>
              <w:t xml:space="preserve"> questionnaires, surveys) should be devised, included in the project monitoring system and – where necessary – budgeted for</w:t>
            </w:r>
          </w:p>
        </w:tc>
      </w:tr>
      <w:tr w:rsidR="00EA65BD" w:rsidRPr="006B414D" w14:paraId="445F3E10" w14:textId="77777777" w:rsidTr="00777F55">
        <w:tc>
          <w:tcPr>
            <w:tcW w:w="233" w:type="pct"/>
          </w:tcPr>
          <w:p w14:paraId="0542F265"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7459C9AE" w14:textId="437792B7" w:rsidR="00EA65BD" w:rsidRPr="006B414D" w:rsidRDefault="00EA65BD" w:rsidP="00777F55">
            <w:pPr>
              <w:rPr>
                <w:rFonts w:cs="Arial"/>
                <w:lang w:val="en-GB"/>
              </w:rPr>
            </w:pPr>
            <w:r w:rsidRPr="006B414D">
              <w:rPr>
                <w:rFonts w:cs="Arial"/>
                <w:lang w:val="en-GB"/>
              </w:rPr>
              <w:t xml:space="preserve">Are the costs linked to the additional data collection tools reasonable (justified </w:t>
            </w:r>
            <w:proofErr w:type="gramStart"/>
            <w:r w:rsidRPr="006B414D">
              <w:rPr>
                <w:rFonts w:cs="Arial"/>
                <w:lang w:val="en-GB"/>
              </w:rPr>
              <w:t>in light of</w:t>
            </w:r>
            <w:proofErr w:type="gramEnd"/>
            <w:r w:rsidRPr="006B414D">
              <w:rPr>
                <w:rFonts w:cs="Arial"/>
                <w:lang w:val="en-GB"/>
              </w:rPr>
              <w:t xml:space="preserve"> the importance of the result to be measured)?</w:t>
            </w:r>
          </w:p>
        </w:tc>
        <w:tc>
          <w:tcPr>
            <w:tcW w:w="505" w:type="pct"/>
          </w:tcPr>
          <w:p w14:paraId="339B12DF" w14:textId="77777777" w:rsidR="00EA65BD" w:rsidRPr="006B414D" w:rsidRDefault="00EA65BD" w:rsidP="00777F55">
            <w:pPr>
              <w:rPr>
                <w:rFonts w:cs="Arial"/>
                <w:lang w:val="en-GB"/>
              </w:rPr>
            </w:pPr>
          </w:p>
        </w:tc>
        <w:tc>
          <w:tcPr>
            <w:tcW w:w="1683" w:type="pct"/>
          </w:tcPr>
          <w:p w14:paraId="5F2FB5D3" w14:textId="77777777" w:rsidR="00EA65BD" w:rsidRPr="006B414D" w:rsidRDefault="00EA65BD" w:rsidP="00777F55">
            <w:pPr>
              <w:rPr>
                <w:rFonts w:cs="Arial"/>
                <w:lang w:val="en-GB"/>
              </w:rPr>
            </w:pPr>
            <w:r w:rsidRPr="006B414D">
              <w:rPr>
                <w:rFonts w:cs="Arial"/>
                <w:u w:val="single"/>
                <w:lang w:val="en-GB"/>
              </w:rPr>
              <w:t>If not</w:t>
            </w:r>
            <w:r w:rsidRPr="006B414D">
              <w:rPr>
                <w:rFonts w:cs="Arial"/>
                <w:lang w:val="en-GB"/>
              </w:rPr>
              <w:t>, consider selecting (or formulating) an alternative indicator</w:t>
            </w:r>
          </w:p>
        </w:tc>
      </w:tr>
      <w:tr w:rsidR="00EA65BD" w:rsidRPr="006B414D" w14:paraId="69C187D0" w14:textId="77777777" w:rsidTr="00777F55">
        <w:tc>
          <w:tcPr>
            <w:tcW w:w="233" w:type="pct"/>
          </w:tcPr>
          <w:p w14:paraId="14DCC08F" w14:textId="77777777" w:rsidR="00EA65BD" w:rsidRPr="006B414D" w:rsidRDefault="00EA65BD" w:rsidP="00EA65BD">
            <w:pPr>
              <w:pStyle w:val="ListParagraph"/>
              <w:numPr>
                <w:ilvl w:val="0"/>
                <w:numId w:val="7"/>
              </w:numPr>
              <w:spacing w:before="0" w:after="0"/>
              <w:ind w:left="284" w:hanging="284"/>
              <w:rPr>
                <w:rFonts w:cs="Arial"/>
                <w:lang w:val="en-GB"/>
              </w:rPr>
            </w:pPr>
          </w:p>
        </w:tc>
        <w:tc>
          <w:tcPr>
            <w:tcW w:w="2578" w:type="pct"/>
          </w:tcPr>
          <w:p w14:paraId="73D3F222" w14:textId="1ED04239" w:rsidR="00EA65BD" w:rsidRPr="006B414D" w:rsidRDefault="00EA65BD" w:rsidP="00777F55">
            <w:pPr>
              <w:rPr>
                <w:rFonts w:cs="Arial"/>
                <w:lang w:val="en-GB"/>
              </w:rPr>
            </w:pPr>
            <w:r w:rsidRPr="006B414D">
              <w:rPr>
                <w:rFonts w:cs="Arial"/>
                <w:lang w:val="en-GB"/>
              </w:rPr>
              <w:t>Can the indicator be informed prior to the end of the operational implementation of the action?</w:t>
            </w:r>
          </w:p>
        </w:tc>
        <w:tc>
          <w:tcPr>
            <w:tcW w:w="505" w:type="pct"/>
          </w:tcPr>
          <w:p w14:paraId="24FCE76F" w14:textId="77777777" w:rsidR="00EA65BD" w:rsidRPr="006B414D" w:rsidRDefault="00EA65BD" w:rsidP="00777F55">
            <w:pPr>
              <w:rPr>
                <w:rFonts w:cs="Arial"/>
                <w:lang w:val="en-GB"/>
              </w:rPr>
            </w:pPr>
          </w:p>
        </w:tc>
        <w:tc>
          <w:tcPr>
            <w:tcW w:w="1683" w:type="pct"/>
          </w:tcPr>
          <w:p w14:paraId="15474227" w14:textId="77777777" w:rsidR="00EA65BD" w:rsidRPr="006B414D" w:rsidRDefault="00EA65BD" w:rsidP="00777F55">
            <w:pPr>
              <w:rPr>
                <w:rFonts w:cs="Arial"/>
                <w:lang w:val="en-GB"/>
              </w:rPr>
            </w:pPr>
            <w:r w:rsidRPr="006B414D">
              <w:rPr>
                <w:rFonts w:cs="Arial"/>
                <w:u w:val="single"/>
                <w:lang w:val="en-GB"/>
              </w:rPr>
              <w:t>If not</w:t>
            </w:r>
            <w:r w:rsidRPr="006B414D">
              <w:rPr>
                <w:rFonts w:cs="Arial"/>
                <w:lang w:val="en-GB"/>
              </w:rPr>
              <w:t>, an alternative indicator should be identified. FNLC indicators are used for payments – hence they are to be measured during the lifetime of the project.</w:t>
            </w:r>
          </w:p>
        </w:tc>
      </w:tr>
    </w:tbl>
    <w:p w14:paraId="4A48A59B" w14:textId="77777777" w:rsidR="00A20A5E" w:rsidRDefault="00A20A5E"/>
    <w:p w14:paraId="0CE3A723" w14:textId="77777777" w:rsidR="00A20A5E" w:rsidRDefault="00A20A5E">
      <w:pPr>
        <w:sectPr w:rsidR="00A20A5E" w:rsidSect="00AE4FA0">
          <w:footerReference w:type="default" r:id="rId17"/>
          <w:pgSz w:w="16838" w:h="11906" w:orient="landscape"/>
          <w:pgMar w:top="1440" w:right="1440" w:bottom="1440" w:left="1440" w:header="708" w:footer="708" w:gutter="0"/>
          <w:cols w:space="708"/>
          <w:docGrid w:linePitch="360"/>
        </w:sectPr>
      </w:pPr>
    </w:p>
    <w:p w14:paraId="3B875844" w14:textId="57865C08" w:rsidR="00774F10" w:rsidRDefault="00994D25" w:rsidP="00774F10">
      <w:pPr>
        <w:pStyle w:val="Heading1"/>
      </w:pPr>
      <w:r>
        <w:lastRenderedPageBreak/>
        <w:t>A</w:t>
      </w:r>
      <w:r w:rsidR="00774F10">
        <w:t>nnex e3c</w:t>
      </w:r>
      <w:r>
        <w:t xml:space="preserve"> - </w:t>
      </w:r>
      <w:proofErr w:type="gramStart"/>
      <w:r>
        <w:t>Budget</w:t>
      </w:r>
      <w:proofErr w:type="gramEnd"/>
    </w:p>
    <w:p w14:paraId="654535D5" w14:textId="77777777" w:rsidR="00774F10" w:rsidRDefault="00774F10" w:rsidP="00774F10"/>
    <w:p w14:paraId="496F9D17" w14:textId="43E866AD" w:rsidR="00774F10" w:rsidRDefault="00774F10" w:rsidP="00774F10">
      <w:r>
        <w:t>Following the identification of the results</w:t>
      </w:r>
      <w:r w:rsidR="005F2ABD">
        <w:t xml:space="preserve"> (outputs/outcomes)</w:t>
      </w:r>
      <w:r>
        <w:t xml:space="preserve"> and </w:t>
      </w:r>
      <w:r w:rsidR="005F2ABD">
        <w:t xml:space="preserve">related </w:t>
      </w:r>
      <w:r>
        <w:t>indicators that are suitable for FNLC, the same</w:t>
      </w:r>
      <w:r w:rsidR="005F2ABD">
        <w:t xml:space="preserve"> results and indicators are to be listed as headings and sub-headings of the </w:t>
      </w:r>
      <w:r w:rsidR="005E1631">
        <w:t>Budget</w:t>
      </w:r>
      <w:r>
        <w:t>.</w:t>
      </w:r>
    </w:p>
    <w:p w14:paraId="2879779F" w14:textId="6564B22E" w:rsidR="00774F10" w:rsidRDefault="00774F10" w:rsidP="00774F10">
      <w:r>
        <w:t>In the case of an action making use entirely of FNLC, the tab to complete</w:t>
      </w:r>
      <w:r w:rsidR="005F2ABD">
        <w:t xml:space="preserve"> from the template provided in Annex e3c</w:t>
      </w:r>
      <w:r>
        <w:t xml:space="preserve"> is </w:t>
      </w:r>
      <w:r w:rsidR="005F2ABD" w:rsidRPr="005F2ABD">
        <w:rPr>
          <w:u w:val="single"/>
        </w:rPr>
        <w:t xml:space="preserve">tab </w:t>
      </w:r>
      <w:r w:rsidRPr="005F2ABD">
        <w:rPr>
          <w:u w:val="single"/>
        </w:rPr>
        <w:t>1c. Budget FNLC ONLY</w:t>
      </w:r>
      <w:r>
        <w:t>.</w:t>
      </w:r>
    </w:p>
    <w:p w14:paraId="120F6EBB" w14:textId="7DAFB671" w:rsidR="00FF24D8" w:rsidRDefault="006C389E" w:rsidP="00774F10">
      <w:proofErr w:type="gramStart"/>
      <w:r>
        <w:t>For the purpose of</w:t>
      </w:r>
      <w:proofErr w:type="gramEnd"/>
      <w:r>
        <w:t xml:space="preserve"> th</w:t>
      </w:r>
      <w:r w:rsidR="00CA763E">
        <w:t>e example provided in th</w:t>
      </w:r>
      <w:r>
        <w:t xml:space="preserve">is </w:t>
      </w:r>
      <w:r w:rsidR="008B4091">
        <w:t>A</w:t>
      </w:r>
      <w:r>
        <w:t xml:space="preserve">nnex K, the applicant is </w:t>
      </w:r>
      <w:r w:rsidR="00611670">
        <w:t>proposing an</w:t>
      </w:r>
      <w:r w:rsidR="00FF24D8">
        <w:t xml:space="preserve"> action </w:t>
      </w:r>
      <w:r w:rsidR="00611670">
        <w:t>that will have a duration of</w:t>
      </w:r>
      <w:r w:rsidR="00786A5F">
        <w:t xml:space="preserve"> </w:t>
      </w:r>
      <w:r w:rsidR="00FF24D8">
        <w:t>four years, with a maximum EU contribution of EUR 1</w:t>
      </w:r>
      <w:r w:rsidR="008B4091">
        <w:t xml:space="preserve"> </w:t>
      </w:r>
      <w:r w:rsidR="00FF24D8">
        <w:t>561</w:t>
      </w:r>
      <w:r w:rsidR="008B4091">
        <w:t xml:space="preserve"> </w:t>
      </w:r>
      <w:r w:rsidR="00FF24D8">
        <w:t>000</w:t>
      </w:r>
      <w:r w:rsidR="00C80302">
        <w:t>, entirely FNLC</w:t>
      </w:r>
      <w:r w:rsidR="00B04011">
        <w:t>, and that will focus on the energy sector.</w:t>
      </w:r>
    </w:p>
    <w:p w14:paraId="367A81D5" w14:textId="789E993C" w:rsidR="00FF24D8" w:rsidRDefault="00490A8E" w:rsidP="00774F10">
      <w:pPr>
        <w:rPr>
          <w:color w:val="FF0000"/>
        </w:rPr>
      </w:pPr>
      <w:r>
        <w:t>In line with Article 2.1</w:t>
      </w:r>
      <w:r w:rsidR="00541876">
        <w:t>1</w:t>
      </w:r>
      <w:r>
        <w:t xml:space="preserve"> of</w:t>
      </w:r>
      <w:r w:rsidR="00F078C1">
        <w:t xml:space="preserve"> the General Conditions for grant contracts</w:t>
      </w:r>
      <w:r>
        <w:t xml:space="preserve">, the applicant should include </w:t>
      </w:r>
      <w:r w:rsidR="00BA078D">
        <w:t xml:space="preserve">in the Budget </w:t>
      </w:r>
      <w:r w:rsidR="00FF24D8">
        <w:t xml:space="preserve">a </w:t>
      </w:r>
      <w:proofErr w:type="gramStart"/>
      <w:r w:rsidR="007E1567">
        <w:t>t</w:t>
      </w:r>
      <w:r w:rsidR="00FF24D8">
        <w:t xml:space="preserve">hird </w:t>
      </w:r>
      <w:r w:rsidR="007E1567">
        <w:t>p</w:t>
      </w:r>
      <w:r w:rsidR="00FF24D8">
        <w:t>arty</w:t>
      </w:r>
      <w:proofErr w:type="gramEnd"/>
      <w:r w:rsidR="00FF24D8">
        <w:t xml:space="preserve"> </w:t>
      </w:r>
      <w:r w:rsidR="007E1567">
        <w:t>a</w:t>
      </w:r>
      <w:r w:rsidR="00FF24D8">
        <w:t>ssessment</w:t>
      </w:r>
      <w:r w:rsidR="00BA078D">
        <w:t>, unless</w:t>
      </w:r>
      <w:r w:rsidR="004C6AA8">
        <w:t xml:space="preserve"> the type of results and indicators to be </w:t>
      </w:r>
      <w:r w:rsidR="00433B89">
        <w:t xml:space="preserve">reported on and </w:t>
      </w:r>
      <w:r w:rsidR="004C6AA8">
        <w:t>validated would justify the contrary. In the latter case the applicant is required to provide a justification</w:t>
      </w:r>
      <w:r w:rsidR="00542CCB">
        <w:t xml:space="preserve">. </w:t>
      </w:r>
      <w:r w:rsidR="002B3F5D">
        <w:t xml:space="preserve">Should the applicant be successful, the Special Conditions of the grant contract will </w:t>
      </w:r>
      <w:r w:rsidR="00A4206D">
        <w:t>derogate to the obligation</w:t>
      </w:r>
      <w:r w:rsidR="008C6172">
        <w:t xml:space="preserve"> set in Article 2.11 of the General Conditions</w:t>
      </w:r>
      <w:r w:rsidR="00542CCB">
        <w:t>.</w:t>
      </w:r>
      <w:r w:rsidR="00DC79B6">
        <w:t xml:space="preserve"> </w:t>
      </w:r>
    </w:p>
    <w:p w14:paraId="5FA7BF4F" w14:textId="77777777" w:rsidR="00B04011" w:rsidRDefault="00B04011" w:rsidP="002217C7">
      <w:pPr>
        <w:pBdr>
          <w:top w:val="single" w:sz="4" w:space="1" w:color="auto"/>
          <w:left w:val="single" w:sz="4" w:space="4" w:color="auto"/>
          <w:bottom w:val="single" w:sz="4" w:space="1" w:color="auto"/>
          <w:right w:val="single" w:sz="4" w:space="4" w:color="auto"/>
        </w:pBdr>
        <w:spacing w:before="240" w:after="240"/>
      </w:pPr>
      <w:r>
        <w:t xml:space="preserve">Disclaimer: the examples provided are meant to show the consistency between the </w:t>
      </w:r>
      <w:proofErr w:type="spellStart"/>
      <w:r>
        <w:t>Logframe</w:t>
      </w:r>
      <w:proofErr w:type="spellEnd"/>
      <w:r>
        <w:t xml:space="preserve">, the budget, and the application form narrative section. They are </w:t>
      </w:r>
      <w:r w:rsidRPr="00CE2D8E">
        <w:rPr>
          <w:b/>
          <w:bCs/>
          <w:u w:val="single"/>
        </w:rPr>
        <w:t>fictitious</w:t>
      </w:r>
      <w:r>
        <w:t xml:space="preserve"> and </w:t>
      </w:r>
      <w:r w:rsidRPr="009B3217">
        <w:rPr>
          <w:b/>
          <w:bCs/>
          <w:u w:val="single"/>
        </w:rPr>
        <w:t>figures are made up</w:t>
      </w:r>
      <w:r>
        <w:t xml:space="preserve">. </w:t>
      </w:r>
    </w:p>
    <w:tbl>
      <w:tblPr>
        <w:tblW w:w="5000" w:type="pct"/>
        <w:tblLook w:val="04A0" w:firstRow="1" w:lastRow="0" w:firstColumn="1" w:lastColumn="0" w:noHBand="0" w:noVBand="1"/>
      </w:tblPr>
      <w:tblGrid>
        <w:gridCol w:w="5385"/>
        <w:gridCol w:w="1107"/>
        <w:gridCol w:w="936"/>
        <w:gridCol w:w="937"/>
        <w:gridCol w:w="1296"/>
        <w:gridCol w:w="1107"/>
        <w:gridCol w:w="937"/>
        <w:gridCol w:w="937"/>
        <w:gridCol w:w="1296"/>
      </w:tblGrid>
      <w:tr w:rsidR="00AA6CC9" w:rsidRPr="00AA6CC9" w14:paraId="7AE61DDE" w14:textId="77777777" w:rsidTr="00AA6CC9">
        <w:trPr>
          <w:trHeight w:val="900"/>
          <w:tblHeader/>
        </w:trPr>
        <w:tc>
          <w:tcPr>
            <w:tcW w:w="1961" w:type="pct"/>
            <w:tcBorders>
              <w:top w:val="single" w:sz="8" w:space="0" w:color="auto"/>
              <w:left w:val="single" w:sz="8" w:space="0" w:color="auto"/>
              <w:bottom w:val="single" w:sz="8" w:space="0" w:color="auto"/>
              <w:right w:val="nil"/>
            </w:tcBorders>
            <w:shd w:val="clear" w:color="000000" w:fill="D9D9D9"/>
            <w:hideMark/>
          </w:tcPr>
          <w:p w14:paraId="26A5F49D" w14:textId="77777777"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1. Budget for the action entirely Financing Not Linked to Costs (FNLC)</w:t>
            </w:r>
          </w:p>
        </w:tc>
        <w:tc>
          <w:tcPr>
            <w:tcW w:w="1519" w:type="pct"/>
            <w:gridSpan w:val="4"/>
            <w:tcBorders>
              <w:top w:val="single" w:sz="8" w:space="0" w:color="auto"/>
              <w:left w:val="single" w:sz="4" w:space="0" w:color="auto"/>
              <w:bottom w:val="single" w:sz="8" w:space="0" w:color="auto"/>
              <w:right w:val="single" w:sz="8" w:space="0" w:color="000000"/>
            </w:tcBorders>
            <w:shd w:val="clear" w:color="000000" w:fill="D9D9D9"/>
            <w:hideMark/>
          </w:tcPr>
          <w:p w14:paraId="47A5FBE2" w14:textId="77777777" w:rsidR="00AA6CC9" w:rsidRPr="00AA6CC9" w:rsidRDefault="00AA6CC9" w:rsidP="00AA6CC9">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All Years</w:t>
            </w:r>
          </w:p>
        </w:tc>
        <w:tc>
          <w:tcPr>
            <w:tcW w:w="1519" w:type="pct"/>
            <w:gridSpan w:val="4"/>
            <w:tcBorders>
              <w:top w:val="single" w:sz="8" w:space="0" w:color="auto"/>
              <w:left w:val="nil"/>
              <w:bottom w:val="single" w:sz="8" w:space="0" w:color="auto"/>
              <w:right w:val="single" w:sz="8" w:space="0" w:color="000000"/>
            </w:tcBorders>
            <w:shd w:val="clear" w:color="000000" w:fill="FFFFFF"/>
            <w:hideMark/>
          </w:tcPr>
          <w:p w14:paraId="45BCE691" w14:textId="77777777" w:rsidR="00AA6CC9" w:rsidRPr="00AA6CC9" w:rsidRDefault="00AA6CC9" w:rsidP="00AA6CC9">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Year 1</w:t>
            </w:r>
          </w:p>
        </w:tc>
      </w:tr>
      <w:tr w:rsidR="00AA6CC9" w:rsidRPr="00AA6CC9" w14:paraId="70480486" w14:textId="77777777" w:rsidTr="00AA6CC9">
        <w:trPr>
          <w:trHeight w:val="1050"/>
          <w:tblHeader/>
        </w:trPr>
        <w:tc>
          <w:tcPr>
            <w:tcW w:w="1961" w:type="pct"/>
            <w:tcBorders>
              <w:top w:val="nil"/>
              <w:left w:val="single" w:sz="8" w:space="0" w:color="auto"/>
              <w:bottom w:val="single" w:sz="4" w:space="0" w:color="auto"/>
              <w:right w:val="nil"/>
            </w:tcBorders>
            <w:shd w:val="clear" w:color="000000" w:fill="D9D9D9"/>
            <w:hideMark/>
          </w:tcPr>
          <w:p w14:paraId="6914BBA4" w14:textId="77777777"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Results measured via pre-agreed performance indicators</w:t>
            </w:r>
          </w:p>
        </w:tc>
        <w:tc>
          <w:tcPr>
            <w:tcW w:w="365" w:type="pct"/>
            <w:tcBorders>
              <w:top w:val="nil"/>
              <w:left w:val="single" w:sz="4" w:space="0" w:color="auto"/>
              <w:bottom w:val="single" w:sz="4" w:space="0" w:color="auto"/>
              <w:right w:val="single" w:sz="4" w:space="0" w:color="auto"/>
            </w:tcBorders>
            <w:shd w:val="clear" w:color="000000" w:fill="D9D9D9"/>
            <w:hideMark/>
          </w:tcPr>
          <w:p w14:paraId="5B6F754B" w14:textId="77777777"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Unit</w:t>
            </w:r>
          </w:p>
        </w:tc>
        <w:tc>
          <w:tcPr>
            <w:tcW w:w="365" w:type="pct"/>
            <w:tcBorders>
              <w:top w:val="nil"/>
              <w:left w:val="nil"/>
              <w:bottom w:val="single" w:sz="4" w:space="0" w:color="auto"/>
              <w:right w:val="single" w:sz="4" w:space="0" w:color="auto"/>
            </w:tcBorders>
            <w:shd w:val="clear" w:color="000000" w:fill="D9D9D9"/>
            <w:hideMark/>
          </w:tcPr>
          <w:p w14:paraId="5DF39B9B" w14:textId="77777777"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Target</w:t>
            </w:r>
          </w:p>
        </w:tc>
        <w:tc>
          <w:tcPr>
            <w:tcW w:w="365" w:type="pct"/>
            <w:tcBorders>
              <w:top w:val="nil"/>
              <w:left w:val="nil"/>
              <w:bottom w:val="single" w:sz="4" w:space="0" w:color="auto"/>
              <w:right w:val="single" w:sz="4" w:space="0" w:color="auto"/>
            </w:tcBorders>
            <w:shd w:val="clear" w:color="000000" w:fill="D9D9D9"/>
            <w:hideMark/>
          </w:tcPr>
          <w:p w14:paraId="65A56F95" w14:textId="77777777"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Value per unit (in EUR)</w:t>
            </w:r>
          </w:p>
        </w:tc>
        <w:tc>
          <w:tcPr>
            <w:tcW w:w="424" w:type="pct"/>
            <w:tcBorders>
              <w:top w:val="nil"/>
              <w:left w:val="nil"/>
              <w:bottom w:val="single" w:sz="4" w:space="0" w:color="auto"/>
              <w:right w:val="single" w:sz="8" w:space="0" w:color="auto"/>
            </w:tcBorders>
            <w:shd w:val="clear" w:color="000000" w:fill="D9D9D9"/>
            <w:hideMark/>
          </w:tcPr>
          <w:p w14:paraId="16B6A503" w14:textId="77698416"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Total Amount/ Contribution</w:t>
            </w:r>
            <w:r w:rsidRPr="00AA6CC9">
              <w:rPr>
                <w:rFonts w:ascii="Arial" w:eastAsia="Times New Roman" w:hAnsi="Arial" w:cs="Arial"/>
                <w:b/>
                <w:bCs/>
                <w:kern w:val="0"/>
                <w:sz w:val="18"/>
                <w:szCs w:val="18"/>
                <w:lang w:val="en-IE" w:eastAsia="en-IE"/>
                <w14:ligatures w14:val="none"/>
              </w:rPr>
              <w:br/>
              <w:t>(in EUR)</w:t>
            </w:r>
          </w:p>
        </w:tc>
        <w:tc>
          <w:tcPr>
            <w:tcW w:w="365" w:type="pct"/>
            <w:tcBorders>
              <w:top w:val="nil"/>
              <w:left w:val="single" w:sz="4" w:space="0" w:color="auto"/>
              <w:bottom w:val="single" w:sz="4" w:space="0" w:color="auto"/>
              <w:right w:val="single" w:sz="4" w:space="0" w:color="auto"/>
            </w:tcBorders>
            <w:shd w:val="clear" w:color="000000" w:fill="D9D9D9"/>
            <w:hideMark/>
          </w:tcPr>
          <w:p w14:paraId="77E51D8F" w14:textId="77777777"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Unit</w:t>
            </w:r>
          </w:p>
        </w:tc>
        <w:tc>
          <w:tcPr>
            <w:tcW w:w="365" w:type="pct"/>
            <w:tcBorders>
              <w:top w:val="nil"/>
              <w:left w:val="nil"/>
              <w:bottom w:val="single" w:sz="4" w:space="0" w:color="auto"/>
              <w:right w:val="single" w:sz="4" w:space="0" w:color="auto"/>
            </w:tcBorders>
            <w:shd w:val="clear" w:color="000000" w:fill="D9D9D9"/>
            <w:hideMark/>
          </w:tcPr>
          <w:p w14:paraId="2BABDD01" w14:textId="77777777"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Target</w:t>
            </w:r>
          </w:p>
        </w:tc>
        <w:tc>
          <w:tcPr>
            <w:tcW w:w="365" w:type="pct"/>
            <w:tcBorders>
              <w:top w:val="nil"/>
              <w:left w:val="nil"/>
              <w:bottom w:val="single" w:sz="4" w:space="0" w:color="auto"/>
              <w:right w:val="single" w:sz="4" w:space="0" w:color="auto"/>
            </w:tcBorders>
            <w:shd w:val="clear" w:color="000000" w:fill="D9D9D9"/>
            <w:hideMark/>
          </w:tcPr>
          <w:p w14:paraId="7B4A321F" w14:textId="77777777"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Value per unit</w:t>
            </w:r>
            <w:r w:rsidRPr="00AA6CC9">
              <w:rPr>
                <w:rFonts w:ascii="Arial" w:eastAsia="Times New Roman" w:hAnsi="Arial" w:cs="Arial"/>
                <w:b/>
                <w:bCs/>
                <w:kern w:val="0"/>
                <w:sz w:val="18"/>
                <w:szCs w:val="18"/>
                <w:lang w:val="en-IE" w:eastAsia="en-IE"/>
                <w14:ligatures w14:val="none"/>
              </w:rPr>
              <w:br/>
              <w:t>(in EUR)</w:t>
            </w:r>
          </w:p>
        </w:tc>
        <w:tc>
          <w:tcPr>
            <w:tcW w:w="424" w:type="pct"/>
            <w:tcBorders>
              <w:top w:val="nil"/>
              <w:left w:val="nil"/>
              <w:bottom w:val="single" w:sz="4" w:space="0" w:color="auto"/>
              <w:right w:val="single" w:sz="8" w:space="0" w:color="auto"/>
            </w:tcBorders>
            <w:shd w:val="clear" w:color="000000" w:fill="D9D9D9"/>
            <w:hideMark/>
          </w:tcPr>
          <w:p w14:paraId="6871C965" w14:textId="77777777" w:rsidR="00AA6CC9" w:rsidRPr="00AA6CC9" w:rsidRDefault="00AA6CC9" w:rsidP="00ED5405">
            <w:pPr>
              <w:spacing w:before="0" w:after="0" w:line="240" w:lineRule="auto"/>
              <w:jc w:val="center"/>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Total Amount/ Contribution</w:t>
            </w:r>
            <w:r w:rsidRPr="00AA6CC9">
              <w:rPr>
                <w:rFonts w:ascii="Arial" w:eastAsia="Times New Roman" w:hAnsi="Arial" w:cs="Arial"/>
                <w:b/>
                <w:bCs/>
                <w:kern w:val="0"/>
                <w:sz w:val="18"/>
                <w:szCs w:val="18"/>
                <w:lang w:val="en-IE" w:eastAsia="en-IE"/>
                <w14:ligatures w14:val="none"/>
              </w:rPr>
              <w:br/>
              <w:t>(in EUR)</w:t>
            </w:r>
          </w:p>
        </w:tc>
      </w:tr>
      <w:tr w:rsidR="00AA6CC9" w:rsidRPr="00AA6CC9" w14:paraId="2EF7B46F" w14:textId="77777777" w:rsidTr="00AA6CC9">
        <w:trPr>
          <w:trHeight w:val="331"/>
        </w:trPr>
        <w:tc>
          <w:tcPr>
            <w:tcW w:w="5000" w:type="pct"/>
            <w:gridSpan w:val="9"/>
            <w:tcBorders>
              <w:top w:val="single" w:sz="4" w:space="0" w:color="auto"/>
              <w:left w:val="single" w:sz="8" w:space="0" w:color="auto"/>
              <w:bottom w:val="single" w:sz="4" w:space="0" w:color="auto"/>
              <w:right w:val="single" w:sz="8" w:space="0" w:color="000000"/>
            </w:tcBorders>
            <w:shd w:val="clear" w:color="000000" w:fill="FFFFFF"/>
            <w:hideMark/>
          </w:tcPr>
          <w:p w14:paraId="15E28AE8" w14:textId="79748D1B"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 xml:space="preserve">Outcome </w:t>
            </w:r>
            <w:r w:rsidR="00662C7C">
              <w:rPr>
                <w:rFonts w:ascii="Arial" w:eastAsia="Times New Roman" w:hAnsi="Arial" w:cs="Arial"/>
                <w:b/>
                <w:bCs/>
                <w:kern w:val="0"/>
                <w:sz w:val="18"/>
                <w:szCs w:val="18"/>
                <w:lang w:val="en-IE" w:eastAsia="en-IE"/>
                <w14:ligatures w14:val="none"/>
              </w:rPr>
              <w:t>2</w:t>
            </w:r>
            <w:r w:rsidRPr="00AA6CC9">
              <w:rPr>
                <w:rFonts w:ascii="Arial" w:eastAsia="Times New Roman" w:hAnsi="Arial" w:cs="Arial"/>
                <w:b/>
                <w:bCs/>
                <w:kern w:val="0"/>
                <w:sz w:val="18"/>
                <w:szCs w:val="18"/>
                <w:lang w:val="en-IE" w:eastAsia="en-IE"/>
                <w14:ligatures w14:val="none"/>
              </w:rPr>
              <w:t>: Policy implementation in three policy priority areas is improved (new electricity generation, liquefied petroleum gas, rural electrification)</w:t>
            </w:r>
          </w:p>
        </w:tc>
      </w:tr>
      <w:tr w:rsidR="00AA6CC9" w:rsidRPr="00AA6CC9" w14:paraId="6ECBF497" w14:textId="77777777" w:rsidTr="00AA6CC9">
        <w:trPr>
          <w:trHeight w:val="510"/>
        </w:trPr>
        <w:tc>
          <w:tcPr>
            <w:tcW w:w="1961" w:type="pct"/>
            <w:tcBorders>
              <w:top w:val="nil"/>
              <w:left w:val="single" w:sz="8" w:space="0" w:color="auto"/>
              <w:bottom w:val="single" w:sz="4" w:space="0" w:color="auto"/>
              <w:right w:val="nil"/>
            </w:tcBorders>
            <w:shd w:val="clear" w:color="auto" w:fill="auto"/>
            <w:hideMark/>
          </w:tcPr>
          <w:p w14:paraId="6FD1CB1B" w14:textId="42BCE8DB"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xml:space="preserve">Indicator </w:t>
            </w:r>
            <w:r w:rsidR="001325AF">
              <w:rPr>
                <w:rFonts w:ascii="Arial" w:eastAsia="Times New Roman" w:hAnsi="Arial" w:cs="Arial"/>
                <w:kern w:val="0"/>
                <w:sz w:val="18"/>
                <w:szCs w:val="18"/>
                <w:lang w:val="en-IE" w:eastAsia="en-IE"/>
                <w14:ligatures w14:val="none"/>
              </w:rPr>
              <w:t>2.</w:t>
            </w:r>
            <w:r w:rsidR="00371221">
              <w:rPr>
                <w:rFonts w:ascii="Arial" w:eastAsia="Times New Roman" w:hAnsi="Arial" w:cs="Arial"/>
                <w:kern w:val="0"/>
                <w:sz w:val="18"/>
                <w:szCs w:val="18"/>
                <w:lang w:val="en-IE" w:eastAsia="en-IE"/>
                <w14:ligatures w14:val="none"/>
              </w:rPr>
              <w:t>2</w:t>
            </w:r>
            <w:r w:rsidRPr="00AA6CC9">
              <w:rPr>
                <w:rFonts w:ascii="Arial" w:eastAsia="Times New Roman" w:hAnsi="Arial" w:cs="Arial"/>
                <w:kern w:val="0"/>
                <w:sz w:val="18"/>
                <w:szCs w:val="18"/>
                <w:lang w:val="en-IE" w:eastAsia="en-IE"/>
                <w14:ligatures w14:val="none"/>
              </w:rPr>
              <w:t xml:space="preserve"> </w:t>
            </w:r>
            <w:r w:rsidR="00544D64">
              <w:rPr>
                <w:rFonts w:ascii="Arial" w:eastAsia="Times New Roman" w:hAnsi="Arial" w:cs="Arial"/>
                <w:kern w:val="0"/>
                <w:sz w:val="18"/>
                <w:szCs w:val="18"/>
                <w:lang w:val="en-IE" w:eastAsia="en-IE"/>
                <w14:ligatures w14:val="none"/>
              </w:rPr>
              <w:t xml:space="preserve">to outcome 2 </w:t>
            </w:r>
            <w:r w:rsidRPr="00AA6CC9">
              <w:rPr>
                <w:rFonts w:ascii="Arial" w:eastAsia="Times New Roman" w:hAnsi="Arial" w:cs="Arial"/>
                <w:kern w:val="0"/>
                <w:sz w:val="18"/>
                <w:szCs w:val="18"/>
                <w:lang w:val="en-IE" w:eastAsia="en-IE"/>
                <w14:ligatures w14:val="none"/>
              </w:rPr>
              <w:t>- Number of households provided with access to clean cooking and fuel</w:t>
            </w:r>
          </w:p>
        </w:tc>
        <w:tc>
          <w:tcPr>
            <w:tcW w:w="365" w:type="pct"/>
            <w:tcBorders>
              <w:top w:val="nil"/>
              <w:left w:val="single" w:sz="4" w:space="0" w:color="auto"/>
              <w:bottom w:val="single" w:sz="4" w:space="0" w:color="auto"/>
              <w:right w:val="single" w:sz="4" w:space="0" w:color="auto"/>
            </w:tcBorders>
            <w:shd w:val="clear" w:color="auto" w:fill="auto"/>
            <w:hideMark/>
          </w:tcPr>
          <w:p w14:paraId="5E69C145"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number</w:t>
            </w:r>
          </w:p>
        </w:tc>
        <w:tc>
          <w:tcPr>
            <w:tcW w:w="365" w:type="pct"/>
            <w:tcBorders>
              <w:top w:val="nil"/>
              <w:left w:val="nil"/>
              <w:bottom w:val="single" w:sz="4" w:space="0" w:color="auto"/>
              <w:right w:val="single" w:sz="4" w:space="0" w:color="auto"/>
            </w:tcBorders>
            <w:shd w:val="clear" w:color="auto" w:fill="auto"/>
            <w:hideMark/>
          </w:tcPr>
          <w:p w14:paraId="1A2854A7" w14:textId="25FD3269"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nil"/>
              <w:bottom w:val="single" w:sz="4" w:space="0" w:color="auto"/>
              <w:right w:val="single" w:sz="4" w:space="0" w:color="auto"/>
            </w:tcBorders>
            <w:shd w:val="clear" w:color="auto" w:fill="auto"/>
            <w:hideMark/>
          </w:tcPr>
          <w:p w14:paraId="18444351"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50</w:t>
            </w:r>
          </w:p>
        </w:tc>
        <w:tc>
          <w:tcPr>
            <w:tcW w:w="424" w:type="pct"/>
            <w:tcBorders>
              <w:top w:val="nil"/>
              <w:left w:val="nil"/>
              <w:bottom w:val="single" w:sz="4" w:space="0" w:color="auto"/>
              <w:right w:val="single" w:sz="8" w:space="0" w:color="auto"/>
            </w:tcBorders>
            <w:shd w:val="clear" w:color="auto" w:fill="auto"/>
            <w:hideMark/>
          </w:tcPr>
          <w:p w14:paraId="0DD73A31" w14:textId="7D83A7B4"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150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auto" w:fill="auto"/>
            <w:hideMark/>
          </w:tcPr>
          <w:p w14:paraId="14E03362"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number</w:t>
            </w:r>
          </w:p>
        </w:tc>
        <w:tc>
          <w:tcPr>
            <w:tcW w:w="365" w:type="pct"/>
            <w:tcBorders>
              <w:top w:val="nil"/>
              <w:left w:val="nil"/>
              <w:bottom w:val="single" w:sz="4" w:space="0" w:color="auto"/>
              <w:right w:val="single" w:sz="4" w:space="0" w:color="auto"/>
            </w:tcBorders>
            <w:shd w:val="clear" w:color="auto" w:fill="auto"/>
            <w:hideMark/>
          </w:tcPr>
          <w:p w14:paraId="781FF850"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500</w:t>
            </w:r>
          </w:p>
        </w:tc>
        <w:tc>
          <w:tcPr>
            <w:tcW w:w="365" w:type="pct"/>
            <w:tcBorders>
              <w:top w:val="nil"/>
              <w:left w:val="nil"/>
              <w:bottom w:val="single" w:sz="4" w:space="0" w:color="auto"/>
              <w:right w:val="single" w:sz="4" w:space="0" w:color="auto"/>
            </w:tcBorders>
            <w:shd w:val="clear" w:color="auto" w:fill="auto"/>
            <w:hideMark/>
          </w:tcPr>
          <w:p w14:paraId="7D85FA5D"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50</w:t>
            </w:r>
          </w:p>
        </w:tc>
        <w:tc>
          <w:tcPr>
            <w:tcW w:w="424" w:type="pct"/>
            <w:tcBorders>
              <w:top w:val="nil"/>
              <w:left w:val="nil"/>
              <w:bottom w:val="single" w:sz="4" w:space="0" w:color="auto"/>
              <w:right w:val="single" w:sz="8" w:space="0" w:color="auto"/>
            </w:tcBorders>
            <w:shd w:val="clear" w:color="auto" w:fill="auto"/>
            <w:hideMark/>
          </w:tcPr>
          <w:p w14:paraId="17E2B1CE" w14:textId="3EC5A21F"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25</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4A7DB43E" w14:textId="77777777" w:rsidTr="00AA6CC9">
        <w:trPr>
          <w:trHeight w:val="255"/>
        </w:trPr>
        <w:tc>
          <w:tcPr>
            <w:tcW w:w="1961" w:type="pct"/>
            <w:tcBorders>
              <w:top w:val="nil"/>
              <w:left w:val="single" w:sz="8" w:space="0" w:color="auto"/>
              <w:bottom w:val="single" w:sz="4" w:space="0" w:color="auto"/>
              <w:right w:val="nil"/>
            </w:tcBorders>
            <w:shd w:val="clear" w:color="000000" w:fill="D9D9D9"/>
            <w:noWrap/>
            <w:hideMark/>
          </w:tcPr>
          <w:p w14:paraId="21732D02" w14:textId="67638E74" w:rsidR="00AA6CC9" w:rsidRPr="00AA6CC9" w:rsidRDefault="00AA6CC9" w:rsidP="00AA6CC9">
            <w:pPr>
              <w:spacing w:before="0" w:after="0" w:line="240" w:lineRule="auto"/>
              <w:jc w:val="right"/>
              <w:rPr>
                <w:rFonts w:ascii="Arial" w:eastAsia="Times New Roman" w:hAnsi="Arial" w:cs="Arial"/>
                <w:i/>
                <w:iCs/>
                <w:kern w:val="0"/>
                <w:sz w:val="18"/>
                <w:szCs w:val="18"/>
                <w:lang w:val="en-IE" w:eastAsia="en-IE"/>
                <w14:ligatures w14:val="none"/>
              </w:rPr>
            </w:pPr>
            <w:r w:rsidRPr="00AA6CC9">
              <w:rPr>
                <w:rFonts w:ascii="Arial" w:eastAsia="Times New Roman" w:hAnsi="Arial" w:cs="Arial"/>
                <w:i/>
                <w:iCs/>
                <w:kern w:val="0"/>
                <w:sz w:val="18"/>
                <w:szCs w:val="18"/>
                <w:lang w:val="en-IE" w:eastAsia="en-IE"/>
                <w14:ligatures w14:val="none"/>
              </w:rPr>
              <w:t xml:space="preserve">Subtotal for </w:t>
            </w:r>
            <w:r w:rsidR="00A8175D">
              <w:rPr>
                <w:rFonts w:ascii="Arial" w:eastAsia="Times New Roman" w:hAnsi="Arial" w:cs="Arial"/>
                <w:i/>
                <w:iCs/>
                <w:kern w:val="0"/>
                <w:sz w:val="18"/>
                <w:szCs w:val="18"/>
                <w:lang w:val="en-IE" w:eastAsia="en-IE"/>
                <w14:ligatures w14:val="none"/>
              </w:rPr>
              <w:t>o</w:t>
            </w:r>
            <w:r w:rsidRPr="00AA6CC9">
              <w:rPr>
                <w:rFonts w:ascii="Arial" w:eastAsia="Times New Roman" w:hAnsi="Arial" w:cs="Arial"/>
                <w:i/>
                <w:iCs/>
                <w:kern w:val="0"/>
                <w:sz w:val="18"/>
                <w:szCs w:val="18"/>
                <w:lang w:val="en-IE" w:eastAsia="en-IE"/>
                <w14:ligatures w14:val="none"/>
              </w:rPr>
              <w:t xml:space="preserve">utcome </w:t>
            </w:r>
            <w:r w:rsidR="001325AF">
              <w:rPr>
                <w:rFonts w:ascii="Arial" w:eastAsia="Times New Roman" w:hAnsi="Arial" w:cs="Arial"/>
                <w:i/>
                <w:iCs/>
                <w:kern w:val="0"/>
                <w:sz w:val="18"/>
                <w:szCs w:val="18"/>
                <w:lang w:val="en-IE" w:eastAsia="en-IE"/>
                <w14:ligatures w14:val="none"/>
              </w:rPr>
              <w:t>2</w:t>
            </w:r>
          </w:p>
        </w:tc>
        <w:tc>
          <w:tcPr>
            <w:tcW w:w="365" w:type="pct"/>
            <w:tcBorders>
              <w:top w:val="nil"/>
              <w:left w:val="single" w:sz="4" w:space="0" w:color="auto"/>
              <w:bottom w:val="single" w:sz="4" w:space="0" w:color="auto"/>
              <w:right w:val="single" w:sz="4" w:space="0" w:color="auto"/>
            </w:tcBorders>
            <w:shd w:val="clear" w:color="000000" w:fill="D9D9D9"/>
            <w:hideMark/>
          </w:tcPr>
          <w:p w14:paraId="5A926BC9"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3E3DD17D"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649A8F96"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18834BE8" w14:textId="3EE9514F"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150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000000" w:fill="D9D9D9"/>
            <w:hideMark/>
          </w:tcPr>
          <w:p w14:paraId="0003B1AB"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28C38AF2"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70B624A1"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16A81D6E" w14:textId="17E11992"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25</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4FDDE2EF" w14:textId="77777777" w:rsidTr="00AA6CC9">
        <w:trPr>
          <w:trHeight w:val="255"/>
        </w:trPr>
        <w:tc>
          <w:tcPr>
            <w:tcW w:w="5000" w:type="pct"/>
            <w:gridSpan w:val="9"/>
            <w:tcBorders>
              <w:top w:val="single" w:sz="4" w:space="0" w:color="auto"/>
              <w:left w:val="single" w:sz="8" w:space="0" w:color="auto"/>
              <w:bottom w:val="single" w:sz="4" w:space="0" w:color="auto"/>
              <w:right w:val="single" w:sz="8" w:space="0" w:color="000000"/>
            </w:tcBorders>
            <w:shd w:val="clear" w:color="000000" w:fill="FFFFFF"/>
            <w:hideMark/>
          </w:tcPr>
          <w:p w14:paraId="5378799A" w14:textId="77777777"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Output 1.1: Improved policy dialogue mechanisms</w:t>
            </w:r>
          </w:p>
        </w:tc>
      </w:tr>
      <w:tr w:rsidR="00AA6CC9" w:rsidRPr="00AA6CC9" w14:paraId="64F51C7E" w14:textId="77777777" w:rsidTr="008B4091">
        <w:trPr>
          <w:trHeight w:val="510"/>
        </w:trPr>
        <w:tc>
          <w:tcPr>
            <w:tcW w:w="1961" w:type="pct"/>
            <w:tcBorders>
              <w:top w:val="nil"/>
              <w:left w:val="single" w:sz="8" w:space="0" w:color="auto"/>
              <w:bottom w:val="single" w:sz="4" w:space="0" w:color="auto"/>
              <w:right w:val="nil"/>
            </w:tcBorders>
            <w:shd w:val="clear" w:color="auto" w:fill="auto"/>
            <w:hideMark/>
          </w:tcPr>
          <w:p w14:paraId="0E57CA70" w14:textId="0171421E"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xml:space="preserve">Indicator 1.1.1 </w:t>
            </w:r>
            <w:r w:rsidR="00544D64">
              <w:rPr>
                <w:rFonts w:ascii="Arial" w:eastAsia="Times New Roman" w:hAnsi="Arial" w:cs="Arial"/>
                <w:kern w:val="0"/>
                <w:sz w:val="18"/>
                <w:szCs w:val="18"/>
                <w:lang w:val="en-IE" w:eastAsia="en-IE"/>
                <w14:ligatures w14:val="none"/>
              </w:rPr>
              <w:t xml:space="preserve">to output 1.1 </w:t>
            </w:r>
            <w:r w:rsidRPr="00AA6CC9">
              <w:rPr>
                <w:rFonts w:ascii="Arial" w:eastAsia="Times New Roman" w:hAnsi="Arial" w:cs="Arial"/>
                <w:kern w:val="0"/>
                <w:sz w:val="18"/>
                <w:szCs w:val="18"/>
                <w:lang w:val="en-IE" w:eastAsia="en-IE"/>
                <w14:ligatures w14:val="none"/>
              </w:rPr>
              <w:t>- Number of conferences that agrees at least 3 policy related action points as part</w:t>
            </w:r>
            <w:r w:rsidR="003766FA">
              <w:rPr>
                <w:rFonts w:ascii="Arial" w:eastAsia="Times New Roman" w:hAnsi="Arial" w:cs="Arial"/>
                <w:kern w:val="0"/>
                <w:sz w:val="18"/>
                <w:szCs w:val="18"/>
                <w:lang w:val="en-IE" w:eastAsia="en-IE"/>
                <w14:ligatures w14:val="none"/>
              </w:rPr>
              <w:t xml:space="preserve"> </w:t>
            </w:r>
            <w:r w:rsidR="003766FA" w:rsidRPr="003766FA">
              <w:rPr>
                <w:rFonts w:ascii="Arial" w:eastAsia="Times New Roman" w:hAnsi="Arial" w:cs="Arial"/>
                <w:kern w:val="0"/>
                <w:sz w:val="18"/>
                <w:szCs w:val="18"/>
                <w:lang w:val="en-IE" w:eastAsia="en-IE"/>
                <w14:ligatures w14:val="none"/>
              </w:rPr>
              <w:t>of the conclusions</w:t>
            </w:r>
            <w:r w:rsidRPr="00AA6CC9">
              <w:rPr>
                <w:rFonts w:ascii="Arial" w:eastAsia="Times New Roman" w:hAnsi="Arial" w:cs="Arial"/>
                <w:kern w:val="0"/>
                <w:sz w:val="18"/>
                <w:szCs w:val="18"/>
                <w:lang w:val="en-IE" w:eastAsia="en-IE"/>
                <w14:ligatures w14:val="none"/>
              </w:rPr>
              <w:t xml:space="preserve"> </w:t>
            </w:r>
          </w:p>
        </w:tc>
        <w:tc>
          <w:tcPr>
            <w:tcW w:w="365" w:type="pct"/>
            <w:tcBorders>
              <w:top w:val="nil"/>
              <w:left w:val="single" w:sz="4" w:space="0" w:color="auto"/>
              <w:bottom w:val="single" w:sz="4" w:space="0" w:color="auto"/>
              <w:right w:val="single" w:sz="4" w:space="0" w:color="auto"/>
            </w:tcBorders>
            <w:shd w:val="clear" w:color="auto" w:fill="auto"/>
            <w:hideMark/>
          </w:tcPr>
          <w:p w14:paraId="58FDD578"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conference</w:t>
            </w:r>
          </w:p>
        </w:tc>
        <w:tc>
          <w:tcPr>
            <w:tcW w:w="365" w:type="pct"/>
            <w:tcBorders>
              <w:top w:val="nil"/>
              <w:left w:val="nil"/>
              <w:bottom w:val="single" w:sz="4" w:space="0" w:color="auto"/>
              <w:right w:val="single" w:sz="4" w:space="0" w:color="auto"/>
            </w:tcBorders>
            <w:shd w:val="clear" w:color="auto" w:fill="auto"/>
            <w:hideMark/>
          </w:tcPr>
          <w:p w14:paraId="1CF351EF"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4</w:t>
            </w:r>
          </w:p>
        </w:tc>
        <w:tc>
          <w:tcPr>
            <w:tcW w:w="365" w:type="pct"/>
            <w:tcBorders>
              <w:top w:val="nil"/>
              <w:left w:val="nil"/>
              <w:bottom w:val="single" w:sz="4" w:space="0" w:color="auto"/>
              <w:right w:val="single" w:sz="4" w:space="0" w:color="auto"/>
            </w:tcBorders>
            <w:shd w:val="clear" w:color="auto" w:fill="auto"/>
            <w:hideMark/>
          </w:tcPr>
          <w:p w14:paraId="3D9B0289" w14:textId="319EAFA9"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7EBD0AE5" w14:textId="2FC5B406"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80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auto" w:fill="auto"/>
            <w:hideMark/>
          </w:tcPr>
          <w:p w14:paraId="3557FE2F"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conference</w:t>
            </w:r>
          </w:p>
        </w:tc>
        <w:tc>
          <w:tcPr>
            <w:tcW w:w="365" w:type="pct"/>
            <w:tcBorders>
              <w:top w:val="nil"/>
              <w:left w:val="nil"/>
              <w:bottom w:val="single" w:sz="4" w:space="0" w:color="auto"/>
              <w:right w:val="single" w:sz="4" w:space="0" w:color="auto"/>
            </w:tcBorders>
            <w:shd w:val="clear" w:color="auto" w:fill="auto"/>
            <w:hideMark/>
          </w:tcPr>
          <w:p w14:paraId="0BBF28D2"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w:t>
            </w:r>
          </w:p>
        </w:tc>
        <w:tc>
          <w:tcPr>
            <w:tcW w:w="365" w:type="pct"/>
            <w:tcBorders>
              <w:top w:val="nil"/>
              <w:left w:val="nil"/>
              <w:bottom w:val="single" w:sz="4" w:space="0" w:color="auto"/>
              <w:right w:val="single" w:sz="4" w:space="0" w:color="auto"/>
            </w:tcBorders>
            <w:shd w:val="clear" w:color="auto" w:fill="auto"/>
            <w:hideMark/>
          </w:tcPr>
          <w:p w14:paraId="3F8DA84D" w14:textId="4E98048C"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387E6BAA" w14:textId="38F35BCE"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41E8B5C7" w14:textId="77777777" w:rsidTr="00AA6CC9">
        <w:trPr>
          <w:trHeight w:val="255"/>
        </w:trPr>
        <w:tc>
          <w:tcPr>
            <w:tcW w:w="1961" w:type="pct"/>
            <w:tcBorders>
              <w:top w:val="nil"/>
              <w:left w:val="single" w:sz="8" w:space="0" w:color="auto"/>
              <w:bottom w:val="single" w:sz="4" w:space="0" w:color="auto"/>
              <w:right w:val="nil"/>
            </w:tcBorders>
            <w:shd w:val="clear" w:color="000000" w:fill="D9D9D9"/>
            <w:noWrap/>
            <w:hideMark/>
          </w:tcPr>
          <w:p w14:paraId="2A52EF68" w14:textId="665A239D" w:rsidR="00AA6CC9" w:rsidRPr="00AA6CC9" w:rsidRDefault="00AA6CC9" w:rsidP="00AA6CC9">
            <w:pPr>
              <w:spacing w:before="0" w:after="0" w:line="240" w:lineRule="auto"/>
              <w:jc w:val="right"/>
              <w:rPr>
                <w:rFonts w:ascii="Arial" w:eastAsia="Times New Roman" w:hAnsi="Arial" w:cs="Arial"/>
                <w:i/>
                <w:iCs/>
                <w:kern w:val="0"/>
                <w:sz w:val="18"/>
                <w:szCs w:val="18"/>
                <w:lang w:val="en-IE" w:eastAsia="en-IE"/>
                <w14:ligatures w14:val="none"/>
              </w:rPr>
            </w:pPr>
            <w:r w:rsidRPr="00AA6CC9">
              <w:rPr>
                <w:rFonts w:ascii="Arial" w:eastAsia="Times New Roman" w:hAnsi="Arial" w:cs="Arial"/>
                <w:i/>
                <w:iCs/>
                <w:kern w:val="0"/>
                <w:sz w:val="18"/>
                <w:szCs w:val="18"/>
                <w:lang w:val="en-IE" w:eastAsia="en-IE"/>
                <w14:ligatures w14:val="none"/>
              </w:rPr>
              <w:t xml:space="preserve">Subtotal for </w:t>
            </w:r>
            <w:r w:rsidR="00A8175D">
              <w:rPr>
                <w:rFonts w:ascii="Arial" w:eastAsia="Times New Roman" w:hAnsi="Arial" w:cs="Arial"/>
                <w:i/>
                <w:iCs/>
                <w:kern w:val="0"/>
                <w:sz w:val="18"/>
                <w:szCs w:val="18"/>
                <w:lang w:val="en-IE" w:eastAsia="en-IE"/>
                <w14:ligatures w14:val="none"/>
              </w:rPr>
              <w:t>o</w:t>
            </w:r>
            <w:r w:rsidRPr="00AA6CC9">
              <w:rPr>
                <w:rFonts w:ascii="Arial" w:eastAsia="Times New Roman" w:hAnsi="Arial" w:cs="Arial"/>
                <w:i/>
                <w:iCs/>
                <w:kern w:val="0"/>
                <w:sz w:val="18"/>
                <w:szCs w:val="18"/>
                <w:lang w:val="en-IE" w:eastAsia="en-IE"/>
                <w14:ligatures w14:val="none"/>
              </w:rPr>
              <w:t>utput 1</w:t>
            </w:r>
            <w:r>
              <w:rPr>
                <w:rFonts w:ascii="Arial" w:eastAsia="Times New Roman" w:hAnsi="Arial" w:cs="Arial"/>
                <w:i/>
                <w:iCs/>
                <w:kern w:val="0"/>
                <w:sz w:val="18"/>
                <w:szCs w:val="18"/>
                <w:lang w:val="en-IE" w:eastAsia="en-IE"/>
                <w14:ligatures w14:val="none"/>
              </w:rPr>
              <w:t>.1</w:t>
            </w:r>
          </w:p>
        </w:tc>
        <w:tc>
          <w:tcPr>
            <w:tcW w:w="365" w:type="pct"/>
            <w:tcBorders>
              <w:top w:val="nil"/>
              <w:left w:val="single" w:sz="4" w:space="0" w:color="auto"/>
              <w:bottom w:val="single" w:sz="4" w:space="0" w:color="auto"/>
              <w:right w:val="single" w:sz="4" w:space="0" w:color="auto"/>
            </w:tcBorders>
            <w:shd w:val="clear" w:color="000000" w:fill="D9D9D9"/>
            <w:hideMark/>
          </w:tcPr>
          <w:p w14:paraId="4AB73642"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71A954C5"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0825FEC2"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34AB0F40" w14:textId="6B15CBB8"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80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000000" w:fill="D9D9D9"/>
            <w:hideMark/>
          </w:tcPr>
          <w:p w14:paraId="2174DBA0"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1B1A46A5"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5A14E049"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6DED4122" w14:textId="3E354289"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695FECC7" w14:textId="77777777" w:rsidTr="00AA6CC9">
        <w:trPr>
          <w:trHeight w:val="419"/>
        </w:trPr>
        <w:tc>
          <w:tcPr>
            <w:tcW w:w="5000" w:type="pct"/>
            <w:gridSpan w:val="9"/>
            <w:tcBorders>
              <w:top w:val="single" w:sz="4" w:space="0" w:color="auto"/>
              <w:left w:val="single" w:sz="8" w:space="0" w:color="auto"/>
              <w:bottom w:val="single" w:sz="4" w:space="0" w:color="auto"/>
              <w:right w:val="single" w:sz="8" w:space="0" w:color="000000"/>
            </w:tcBorders>
            <w:shd w:val="clear" w:color="000000" w:fill="FFFFFF"/>
            <w:hideMark/>
          </w:tcPr>
          <w:p w14:paraId="17927A06" w14:textId="77777777"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lastRenderedPageBreak/>
              <w:t>Output 1.2: Increased capacity to engage on regulatory framework</w:t>
            </w:r>
          </w:p>
        </w:tc>
      </w:tr>
      <w:tr w:rsidR="00AA6CC9" w:rsidRPr="00AA6CC9" w14:paraId="6FCEB231" w14:textId="77777777" w:rsidTr="00AA6CC9">
        <w:trPr>
          <w:trHeight w:val="765"/>
        </w:trPr>
        <w:tc>
          <w:tcPr>
            <w:tcW w:w="1961" w:type="pct"/>
            <w:tcBorders>
              <w:top w:val="nil"/>
              <w:left w:val="single" w:sz="8" w:space="0" w:color="auto"/>
              <w:bottom w:val="single" w:sz="4" w:space="0" w:color="auto"/>
              <w:right w:val="nil"/>
            </w:tcBorders>
            <w:shd w:val="clear" w:color="auto" w:fill="auto"/>
            <w:hideMark/>
          </w:tcPr>
          <w:p w14:paraId="200B7BC4" w14:textId="60B9FFB5"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xml:space="preserve">Indicator 1.2.1 </w:t>
            </w:r>
            <w:r w:rsidR="00EC14E6">
              <w:rPr>
                <w:rFonts w:ascii="Arial" w:eastAsia="Times New Roman" w:hAnsi="Arial" w:cs="Arial"/>
                <w:kern w:val="0"/>
                <w:sz w:val="18"/>
                <w:szCs w:val="18"/>
                <w:lang w:val="en-IE" w:eastAsia="en-IE"/>
                <w14:ligatures w14:val="none"/>
              </w:rPr>
              <w:t>to output 1.2</w:t>
            </w:r>
            <w:r w:rsidR="00927613">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 Number of consultation / training events where at least 50% of the participants trained pass performance assessment (test) with a minimum score of 65%</w:t>
            </w:r>
          </w:p>
        </w:tc>
        <w:tc>
          <w:tcPr>
            <w:tcW w:w="365" w:type="pct"/>
            <w:tcBorders>
              <w:top w:val="nil"/>
              <w:left w:val="single" w:sz="4" w:space="0" w:color="auto"/>
              <w:bottom w:val="single" w:sz="4" w:space="0" w:color="auto"/>
              <w:right w:val="single" w:sz="4" w:space="0" w:color="auto"/>
            </w:tcBorders>
            <w:shd w:val="clear" w:color="auto" w:fill="auto"/>
            <w:hideMark/>
          </w:tcPr>
          <w:p w14:paraId="7397D023"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event</w:t>
            </w:r>
          </w:p>
        </w:tc>
        <w:tc>
          <w:tcPr>
            <w:tcW w:w="365" w:type="pct"/>
            <w:tcBorders>
              <w:top w:val="nil"/>
              <w:left w:val="nil"/>
              <w:bottom w:val="single" w:sz="4" w:space="0" w:color="auto"/>
              <w:right w:val="single" w:sz="4" w:space="0" w:color="auto"/>
            </w:tcBorders>
            <w:shd w:val="clear" w:color="auto" w:fill="auto"/>
            <w:hideMark/>
          </w:tcPr>
          <w:p w14:paraId="2218C8ED"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6</w:t>
            </w:r>
          </w:p>
        </w:tc>
        <w:tc>
          <w:tcPr>
            <w:tcW w:w="365" w:type="pct"/>
            <w:tcBorders>
              <w:top w:val="nil"/>
              <w:left w:val="nil"/>
              <w:bottom w:val="single" w:sz="4" w:space="0" w:color="auto"/>
              <w:right w:val="single" w:sz="4" w:space="0" w:color="auto"/>
            </w:tcBorders>
            <w:shd w:val="clear" w:color="auto" w:fill="auto"/>
            <w:hideMark/>
          </w:tcPr>
          <w:p w14:paraId="2BE0E977" w14:textId="1C4662CE"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6E694B00" w14:textId="534934ED"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60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auto" w:fill="auto"/>
            <w:hideMark/>
          </w:tcPr>
          <w:p w14:paraId="586F37DC"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event</w:t>
            </w:r>
          </w:p>
        </w:tc>
        <w:tc>
          <w:tcPr>
            <w:tcW w:w="365" w:type="pct"/>
            <w:tcBorders>
              <w:top w:val="nil"/>
              <w:left w:val="nil"/>
              <w:bottom w:val="single" w:sz="4" w:space="0" w:color="auto"/>
              <w:right w:val="single" w:sz="4" w:space="0" w:color="auto"/>
            </w:tcBorders>
            <w:shd w:val="clear" w:color="auto" w:fill="auto"/>
            <w:hideMark/>
          </w:tcPr>
          <w:p w14:paraId="3DBECC50"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w:t>
            </w:r>
          </w:p>
        </w:tc>
        <w:tc>
          <w:tcPr>
            <w:tcW w:w="365" w:type="pct"/>
            <w:tcBorders>
              <w:top w:val="nil"/>
              <w:left w:val="nil"/>
              <w:bottom w:val="single" w:sz="4" w:space="0" w:color="auto"/>
              <w:right w:val="single" w:sz="4" w:space="0" w:color="auto"/>
            </w:tcBorders>
            <w:shd w:val="clear" w:color="auto" w:fill="auto"/>
            <w:hideMark/>
          </w:tcPr>
          <w:p w14:paraId="5BB0E749" w14:textId="3A805BDD"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2CA5CDA3" w14:textId="6950F91C"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4A9B3E71" w14:textId="77777777" w:rsidTr="00AA6CC9">
        <w:trPr>
          <w:trHeight w:val="255"/>
        </w:trPr>
        <w:tc>
          <w:tcPr>
            <w:tcW w:w="1961" w:type="pct"/>
            <w:tcBorders>
              <w:top w:val="nil"/>
              <w:left w:val="single" w:sz="8" w:space="0" w:color="auto"/>
              <w:bottom w:val="single" w:sz="4" w:space="0" w:color="auto"/>
              <w:right w:val="nil"/>
            </w:tcBorders>
            <w:shd w:val="clear" w:color="000000" w:fill="D9D9D9"/>
            <w:noWrap/>
            <w:hideMark/>
          </w:tcPr>
          <w:p w14:paraId="6796E2AE" w14:textId="03AE7BE3" w:rsidR="00AA6CC9" w:rsidRPr="00AA6CC9" w:rsidRDefault="00AA6CC9" w:rsidP="00AA6CC9">
            <w:pPr>
              <w:spacing w:before="0" w:after="0" w:line="240" w:lineRule="auto"/>
              <w:jc w:val="right"/>
              <w:rPr>
                <w:rFonts w:ascii="Arial" w:eastAsia="Times New Roman" w:hAnsi="Arial" w:cs="Arial"/>
                <w:i/>
                <w:iCs/>
                <w:kern w:val="0"/>
                <w:sz w:val="18"/>
                <w:szCs w:val="18"/>
                <w:lang w:val="en-IE" w:eastAsia="en-IE"/>
                <w14:ligatures w14:val="none"/>
              </w:rPr>
            </w:pPr>
            <w:r w:rsidRPr="00AA6CC9">
              <w:rPr>
                <w:rFonts w:ascii="Arial" w:eastAsia="Times New Roman" w:hAnsi="Arial" w:cs="Arial"/>
                <w:i/>
                <w:iCs/>
                <w:kern w:val="0"/>
                <w:sz w:val="18"/>
                <w:szCs w:val="18"/>
                <w:lang w:val="en-IE" w:eastAsia="en-IE"/>
                <w14:ligatures w14:val="none"/>
              </w:rPr>
              <w:t xml:space="preserve">Subtotal for </w:t>
            </w:r>
            <w:r w:rsidR="00A8175D">
              <w:rPr>
                <w:rFonts w:ascii="Arial" w:eastAsia="Times New Roman" w:hAnsi="Arial" w:cs="Arial"/>
                <w:i/>
                <w:iCs/>
                <w:kern w:val="0"/>
                <w:sz w:val="18"/>
                <w:szCs w:val="18"/>
                <w:lang w:val="en-IE" w:eastAsia="en-IE"/>
                <w14:ligatures w14:val="none"/>
              </w:rPr>
              <w:t>o</w:t>
            </w:r>
            <w:r w:rsidRPr="00AA6CC9">
              <w:rPr>
                <w:rFonts w:ascii="Arial" w:eastAsia="Times New Roman" w:hAnsi="Arial" w:cs="Arial"/>
                <w:i/>
                <w:iCs/>
                <w:kern w:val="0"/>
                <w:sz w:val="18"/>
                <w:szCs w:val="18"/>
                <w:lang w:val="en-IE" w:eastAsia="en-IE"/>
                <w14:ligatures w14:val="none"/>
              </w:rPr>
              <w:t xml:space="preserve">utput </w:t>
            </w:r>
            <w:r>
              <w:rPr>
                <w:rFonts w:ascii="Arial" w:eastAsia="Times New Roman" w:hAnsi="Arial" w:cs="Arial"/>
                <w:i/>
                <w:iCs/>
                <w:kern w:val="0"/>
                <w:sz w:val="18"/>
                <w:szCs w:val="18"/>
                <w:lang w:val="en-IE" w:eastAsia="en-IE"/>
                <w14:ligatures w14:val="none"/>
              </w:rPr>
              <w:t>1.</w:t>
            </w:r>
            <w:r w:rsidRPr="00AA6CC9">
              <w:rPr>
                <w:rFonts w:ascii="Arial" w:eastAsia="Times New Roman" w:hAnsi="Arial" w:cs="Arial"/>
                <w:i/>
                <w:iCs/>
                <w:kern w:val="0"/>
                <w:sz w:val="18"/>
                <w:szCs w:val="18"/>
                <w:lang w:val="en-IE" w:eastAsia="en-IE"/>
                <w14:ligatures w14:val="none"/>
              </w:rPr>
              <w:t>2</w:t>
            </w:r>
          </w:p>
        </w:tc>
        <w:tc>
          <w:tcPr>
            <w:tcW w:w="365" w:type="pct"/>
            <w:tcBorders>
              <w:top w:val="nil"/>
              <w:left w:val="single" w:sz="4" w:space="0" w:color="auto"/>
              <w:bottom w:val="single" w:sz="4" w:space="0" w:color="auto"/>
              <w:right w:val="single" w:sz="4" w:space="0" w:color="auto"/>
            </w:tcBorders>
            <w:shd w:val="clear" w:color="000000" w:fill="D9D9D9"/>
            <w:hideMark/>
          </w:tcPr>
          <w:p w14:paraId="2283282C"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1CA8D63C"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142F82C2"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7DB80079" w14:textId="6271A07B"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60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000000" w:fill="D9D9D9"/>
            <w:hideMark/>
          </w:tcPr>
          <w:p w14:paraId="16F72469"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223C8CC3"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07F0ECA9"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40B3BE60" w14:textId="3C266B72"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55D875CA" w14:textId="77777777" w:rsidTr="00AA6CC9">
        <w:trPr>
          <w:trHeight w:val="556"/>
        </w:trPr>
        <w:tc>
          <w:tcPr>
            <w:tcW w:w="5000" w:type="pct"/>
            <w:gridSpan w:val="9"/>
            <w:tcBorders>
              <w:top w:val="single" w:sz="4" w:space="0" w:color="auto"/>
              <w:left w:val="single" w:sz="8" w:space="0" w:color="auto"/>
              <w:bottom w:val="single" w:sz="4" w:space="0" w:color="auto"/>
              <w:right w:val="single" w:sz="8" w:space="0" w:color="000000"/>
            </w:tcBorders>
            <w:shd w:val="clear" w:color="000000" w:fill="FFFFFF"/>
            <w:hideMark/>
          </w:tcPr>
          <w:p w14:paraId="40B75F86" w14:textId="77777777"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Output 2.1: Adherence to public procurement procedures described in Annex 1 for the procurement of new Renewable Energy generation from Independent from Power Producers (IPPs) is ensured</w:t>
            </w:r>
          </w:p>
        </w:tc>
      </w:tr>
      <w:tr w:rsidR="00AA6CC9" w:rsidRPr="00AA6CC9" w14:paraId="50B15B96" w14:textId="77777777" w:rsidTr="00AA6CC9">
        <w:trPr>
          <w:trHeight w:val="765"/>
        </w:trPr>
        <w:tc>
          <w:tcPr>
            <w:tcW w:w="1961" w:type="pct"/>
            <w:tcBorders>
              <w:top w:val="nil"/>
              <w:left w:val="single" w:sz="8" w:space="0" w:color="auto"/>
              <w:bottom w:val="single" w:sz="4" w:space="0" w:color="auto"/>
              <w:right w:val="nil"/>
            </w:tcBorders>
            <w:shd w:val="clear" w:color="auto" w:fill="auto"/>
            <w:hideMark/>
          </w:tcPr>
          <w:p w14:paraId="6C2BA59D" w14:textId="6C30DB9B"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xml:space="preserve">Indicator 2.1.1 </w:t>
            </w:r>
            <w:r w:rsidR="00927613">
              <w:rPr>
                <w:rFonts w:ascii="Arial" w:eastAsia="Times New Roman" w:hAnsi="Arial" w:cs="Arial"/>
                <w:kern w:val="0"/>
                <w:sz w:val="18"/>
                <w:szCs w:val="18"/>
                <w:lang w:val="en-IE" w:eastAsia="en-IE"/>
                <w14:ligatures w14:val="none"/>
              </w:rPr>
              <w:t xml:space="preserve">to output 2.1 </w:t>
            </w:r>
            <w:r w:rsidRPr="00AA6CC9">
              <w:rPr>
                <w:rFonts w:ascii="Arial" w:eastAsia="Times New Roman" w:hAnsi="Arial" w:cs="Arial"/>
                <w:kern w:val="0"/>
                <w:sz w:val="18"/>
                <w:szCs w:val="18"/>
                <w:lang w:val="en-IE" w:eastAsia="en-IE"/>
                <w14:ligatures w14:val="none"/>
              </w:rPr>
              <w:t>- Number of technology-specific and site-specific grid-tied RE generation projects tendered following the public procurement procedures set out in Annex 1</w:t>
            </w:r>
          </w:p>
        </w:tc>
        <w:tc>
          <w:tcPr>
            <w:tcW w:w="365" w:type="pct"/>
            <w:tcBorders>
              <w:top w:val="nil"/>
              <w:left w:val="single" w:sz="4" w:space="0" w:color="auto"/>
              <w:bottom w:val="single" w:sz="4" w:space="0" w:color="auto"/>
              <w:right w:val="single" w:sz="4" w:space="0" w:color="auto"/>
            </w:tcBorders>
            <w:shd w:val="clear" w:color="auto" w:fill="auto"/>
            <w:hideMark/>
          </w:tcPr>
          <w:p w14:paraId="617D7311"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site</w:t>
            </w:r>
          </w:p>
        </w:tc>
        <w:tc>
          <w:tcPr>
            <w:tcW w:w="365" w:type="pct"/>
            <w:tcBorders>
              <w:top w:val="nil"/>
              <w:left w:val="nil"/>
              <w:bottom w:val="single" w:sz="4" w:space="0" w:color="auto"/>
              <w:right w:val="single" w:sz="4" w:space="0" w:color="auto"/>
            </w:tcBorders>
            <w:shd w:val="clear" w:color="auto" w:fill="auto"/>
            <w:hideMark/>
          </w:tcPr>
          <w:p w14:paraId="24B436E8"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4</w:t>
            </w:r>
          </w:p>
        </w:tc>
        <w:tc>
          <w:tcPr>
            <w:tcW w:w="365" w:type="pct"/>
            <w:tcBorders>
              <w:top w:val="nil"/>
              <w:left w:val="nil"/>
              <w:bottom w:val="single" w:sz="4" w:space="0" w:color="auto"/>
              <w:right w:val="single" w:sz="4" w:space="0" w:color="auto"/>
            </w:tcBorders>
            <w:shd w:val="clear" w:color="auto" w:fill="auto"/>
            <w:hideMark/>
          </w:tcPr>
          <w:p w14:paraId="30AB330E" w14:textId="28F4C94F"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32D27295" w14:textId="51DBADD2"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auto" w:fill="auto"/>
            <w:hideMark/>
          </w:tcPr>
          <w:p w14:paraId="4E829771"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site</w:t>
            </w:r>
          </w:p>
        </w:tc>
        <w:tc>
          <w:tcPr>
            <w:tcW w:w="365" w:type="pct"/>
            <w:tcBorders>
              <w:top w:val="nil"/>
              <w:left w:val="nil"/>
              <w:bottom w:val="single" w:sz="4" w:space="0" w:color="auto"/>
              <w:right w:val="single" w:sz="4" w:space="0" w:color="auto"/>
            </w:tcBorders>
            <w:shd w:val="clear" w:color="auto" w:fill="auto"/>
            <w:hideMark/>
          </w:tcPr>
          <w:p w14:paraId="02F8B7AD"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w:t>
            </w:r>
          </w:p>
        </w:tc>
        <w:tc>
          <w:tcPr>
            <w:tcW w:w="365" w:type="pct"/>
            <w:tcBorders>
              <w:top w:val="nil"/>
              <w:left w:val="nil"/>
              <w:bottom w:val="single" w:sz="4" w:space="0" w:color="auto"/>
              <w:right w:val="single" w:sz="4" w:space="0" w:color="auto"/>
            </w:tcBorders>
            <w:shd w:val="clear" w:color="auto" w:fill="auto"/>
            <w:hideMark/>
          </w:tcPr>
          <w:p w14:paraId="1AAB115C" w14:textId="73A82E1F"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2FC5C207" w14:textId="15FE5D7D"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4F3A98A3" w14:textId="77777777" w:rsidTr="00AA6CC9">
        <w:trPr>
          <w:trHeight w:val="255"/>
        </w:trPr>
        <w:tc>
          <w:tcPr>
            <w:tcW w:w="1961" w:type="pct"/>
            <w:tcBorders>
              <w:top w:val="nil"/>
              <w:left w:val="single" w:sz="8" w:space="0" w:color="auto"/>
              <w:bottom w:val="single" w:sz="4" w:space="0" w:color="auto"/>
              <w:right w:val="nil"/>
            </w:tcBorders>
            <w:shd w:val="clear" w:color="000000" w:fill="D9D9D9"/>
            <w:noWrap/>
            <w:hideMark/>
          </w:tcPr>
          <w:p w14:paraId="3F13698D" w14:textId="09D1DFFC" w:rsidR="00AA6CC9" w:rsidRPr="00AA6CC9" w:rsidRDefault="00AA6CC9" w:rsidP="00AA6CC9">
            <w:pPr>
              <w:spacing w:before="0" w:after="0" w:line="240" w:lineRule="auto"/>
              <w:jc w:val="right"/>
              <w:rPr>
                <w:rFonts w:ascii="Arial" w:eastAsia="Times New Roman" w:hAnsi="Arial" w:cs="Arial"/>
                <w:i/>
                <w:iCs/>
                <w:kern w:val="0"/>
                <w:sz w:val="18"/>
                <w:szCs w:val="18"/>
                <w:lang w:val="en-IE" w:eastAsia="en-IE"/>
                <w14:ligatures w14:val="none"/>
              </w:rPr>
            </w:pPr>
            <w:r w:rsidRPr="00AA6CC9">
              <w:rPr>
                <w:rFonts w:ascii="Arial" w:eastAsia="Times New Roman" w:hAnsi="Arial" w:cs="Arial"/>
                <w:i/>
                <w:iCs/>
                <w:kern w:val="0"/>
                <w:sz w:val="18"/>
                <w:szCs w:val="18"/>
                <w:lang w:val="en-IE" w:eastAsia="en-IE"/>
                <w14:ligatures w14:val="none"/>
              </w:rPr>
              <w:t xml:space="preserve">Subtotal for </w:t>
            </w:r>
            <w:r w:rsidR="00A8175D">
              <w:rPr>
                <w:rFonts w:ascii="Arial" w:eastAsia="Times New Roman" w:hAnsi="Arial" w:cs="Arial"/>
                <w:i/>
                <w:iCs/>
                <w:kern w:val="0"/>
                <w:sz w:val="18"/>
                <w:szCs w:val="18"/>
                <w:lang w:val="en-IE" w:eastAsia="en-IE"/>
                <w14:ligatures w14:val="none"/>
              </w:rPr>
              <w:t>o</w:t>
            </w:r>
            <w:r w:rsidRPr="00AA6CC9">
              <w:rPr>
                <w:rFonts w:ascii="Arial" w:eastAsia="Times New Roman" w:hAnsi="Arial" w:cs="Arial"/>
                <w:i/>
                <w:iCs/>
                <w:kern w:val="0"/>
                <w:sz w:val="18"/>
                <w:szCs w:val="18"/>
                <w:lang w:val="en-IE" w:eastAsia="en-IE"/>
                <w14:ligatures w14:val="none"/>
              </w:rPr>
              <w:t>utput 2</w:t>
            </w:r>
            <w:r>
              <w:rPr>
                <w:rFonts w:ascii="Arial" w:eastAsia="Times New Roman" w:hAnsi="Arial" w:cs="Arial"/>
                <w:i/>
                <w:iCs/>
                <w:kern w:val="0"/>
                <w:sz w:val="18"/>
                <w:szCs w:val="18"/>
                <w:lang w:val="en-IE" w:eastAsia="en-IE"/>
                <w14:ligatures w14:val="none"/>
              </w:rPr>
              <w:t>.1</w:t>
            </w:r>
          </w:p>
        </w:tc>
        <w:tc>
          <w:tcPr>
            <w:tcW w:w="365" w:type="pct"/>
            <w:tcBorders>
              <w:top w:val="nil"/>
              <w:left w:val="single" w:sz="4" w:space="0" w:color="auto"/>
              <w:bottom w:val="single" w:sz="4" w:space="0" w:color="auto"/>
              <w:right w:val="single" w:sz="4" w:space="0" w:color="auto"/>
            </w:tcBorders>
            <w:shd w:val="clear" w:color="000000" w:fill="D9D9D9"/>
            <w:hideMark/>
          </w:tcPr>
          <w:p w14:paraId="66C51AD1"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32A2A08A"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23F59518"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1F656DB9" w14:textId="5A55528F"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120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000000" w:fill="D9D9D9"/>
            <w:hideMark/>
          </w:tcPr>
          <w:p w14:paraId="112F07EF"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5450185E"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1FC39F00"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2EB7761A" w14:textId="164D2319"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30</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r>
      <w:tr w:rsidR="00AA6CC9" w:rsidRPr="00AA6CC9" w14:paraId="62624AF8" w14:textId="77777777" w:rsidTr="00AA6CC9">
        <w:trPr>
          <w:trHeight w:val="312"/>
        </w:trPr>
        <w:tc>
          <w:tcPr>
            <w:tcW w:w="5000" w:type="pct"/>
            <w:gridSpan w:val="9"/>
            <w:tcBorders>
              <w:top w:val="single" w:sz="4" w:space="0" w:color="auto"/>
              <w:left w:val="single" w:sz="8" w:space="0" w:color="auto"/>
              <w:bottom w:val="single" w:sz="4" w:space="0" w:color="auto"/>
              <w:right w:val="single" w:sz="8" w:space="0" w:color="000000"/>
            </w:tcBorders>
            <w:shd w:val="clear" w:color="000000" w:fill="FFFFFF"/>
            <w:hideMark/>
          </w:tcPr>
          <w:p w14:paraId="15FE9336" w14:textId="77B93337"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Output</w:t>
            </w:r>
            <w:r w:rsidR="009D30D6">
              <w:rPr>
                <w:rFonts w:ascii="Arial" w:eastAsia="Times New Roman" w:hAnsi="Arial" w:cs="Arial"/>
                <w:b/>
                <w:bCs/>
                <w:kern w:val="0"/>
                <w:sz w:val="18"/>
                <w:szCs w:val="18"/>
                <w:lang w:val="en-IE" w:eastAsia="en-IE"/>
                <w14:ligatures w14:val="none"/>
              </w:rPr>
              <w:t xml:space="preserve"> 3</w:t>
            </w:r>
            <w:r w:rsidRPr="00AA6CC9">
              <w:rPr>
                <w:rFonts w:ascii="Arial" w:eastAsia="Times New Roman" w:hAnsi="Arial" w:cs="Arial"/>
                <w:b/>
                <w:bCs/>
                <w:kern w:val="0"/>
                <w:sz w:val="18"/>
                <w:szCs w:val="18"/>
                <w:lang w:val="en-IE" w:eastAsia="en-IE"/>
                <w14:ligatures w14:val="none"/>
              </w:rPr>
              <w:t xml:space="preserve">: Third </w:t>
            </w:r>
            <w:r w:rsidR="0099196C">
              <w:rPr>
                <w:rFonts w:ascii="Arial" w:eastAsia="Times New Roman" w:hAnsi="Arial" w:cs="Arial"/>
                <w:b/>
                <w:bCs/>
                <w:kern w:val="0"/>
                <w:sz w:val="18"/>
                <w:szCs w:val="18"/>
                <w:lang w:val="en-IE" w:eastAsia="en-IE"/>
                <w14:ligatures w14:val="none"/>
              </w:rPr>
              <w:t>p</w:t>
            </w:r>
            <w:r w:rsidRPr="00AA6CC9">
              <w:rPr>
                <w:rFonts w:ascii="Arial" w:eastAsia="Times New Roman" w:hAnsi="Arial" w:cs="Arial"/>
                <w:b/>
                <w:bCs/>
                <w:kern w:val="0"/>
                <w:sz w:val="18"/>
                <w:szCs w:val="18"/>
                <w:lang w:val="en-IE" w:eastAsia="en-IE"/>
                <w14:ligatures w14:val="none"/>
              </w:rPr>
              <w:t xml:space="preserve">arty </w:t>
            </w:r>
            <w:r w:rsidR="0099196C">
              <w:rPr>
                <w:rFonts w:ascii="Arial" w:eastAsia="Times New Roman" w:hAnsi="Arial" w:cs="Arial"/>
                <w:b/>
                <w:bCs/>
                <w:kern w:val="0"/>
                <w:sz w:val="18"/>
                <w:szCs w:val="18"/>
                <w:lang w:val="en-IE" w:eastAsia="en-IE"/>
                <w14:ligatures w14:val="none"/>
              </w:rPr>
              <w:t>a</w:t>
            </w:r>
            <w:r w:rsidRPr="00AA6CC9">
              <w:rPr>
                <w:rFonts w:ascii="Arial" w:eastAsia="Times New Roman" w:hAnsi="Arial" w:cs="Arial"/>
                <w:b/>
                <w:bCs/>
                <w:kern w:val="0"/>
                <w:sz w:val="18"/>
                <w:szCs w:val="18"/>
                <w:lang w:val="en-IE" w:eastAsia="en-IE"/>
                <w14:ligatures w14:val="none"/>
              </w:rPr>
              <w:t>ssessment</w:t>
            </w:r>
            <w:r w:rsidR="00C85028">
              <w:rPr>
                <w:rStyle w:val="FootnoteReference"/>
                <w:rFonts w:ascii="Arial" w:eastAsia="Times New Roman" w:hAnsi="Arial" w:cs="Arial"/>
                <w:b/>
                <w:bCs/>
                <w:kern w:val="0"/>
                <w:sz w:val="18"/>
                <w:szCs w:val="18"/>
                <w:lang w:val="en-IE" w:eastAsia="en-IE"/>
                <w14:ligatures w14:val="none"/>
              </w:rPr>
              <w:footnoteReference w:id="4"/>
            </w:r>
          </w:p>
        </w:tc>
      </w:tr>
      <w:tr w:rsidR="00AA6CC9" w:rsidRPr="00AA6CC9" w14:paraId="6F7559AA" w14:textId="77777777" w:rsidTr="00AA6CC9">
        <w:trPr>
          <w:trHeight w:val="840"/>
        </w:trPr>
        <w:tc>
          <w:tcPr>
            <w:tcW w:w="1961" w:type="pct"/>
            <w:tcBorders>
              <w:top w:val="nil"/>
              <w:left w:val="single" w:sz="8" w:space="0" w:color="auto"/>
              <w:bottom w:val="single" w:sz="4" w:space="0" w:color="auto"/>
              <w:right w:val="nil"/>
            </w:tcBorders>
            <w:shd w:val="clear" w:color="auto" w:fill="auto"/>
            <w:hideMark/>
          </w:tcPr>
          <w:p w14:paraId="6FE2E974" w14:textId="60CA70EC" w:rsidR="00AA6CC9" w:rsidRPr="00AA6CC9" w:rsidRDefault="00650F88" w:rsidP="00AA6CC9">
            <w:pPr>
              <w:spacing w:before="0" w:after="0" w:line="240" w:lineRule="auto"/>
              <w:jc w:val="left"/>
              <w:rPr>
                <w:rFonts w:ascii="Arial" w:eastAsia="Times New Roman" w:hAnsi="Arial" w:cs="Arial"/>
                <w:kern w:val="0"/>
                <w:sz w:val="18"/>
                <w:szCs w:val="18"/>
                <w:lang w:val="en-IE" w:eastAsia="en-IE"/>
                <w14:ligatures w14:val="none"/>
              </w:rPr>
            </w:pPr>
            <w:r>
              <w:rPr>
                <w:rFonts w:ascii="Arial" w:eastAsia="Times New Roman" w:hAnsi="Arial" w:cs="Arial"/>
                <w:kern w:val="0"/>
                <w:sz w:val="18"/>
                <w:szCs w:val="18"/>
                <w:lang w:val="en-IE" w:eastAsia="en-IE"/>
                <w14:ligatures w14:val="none"/>
              </w:rPr>
              <w:t xml:space="preserve">Indicator 3.1 - </w:t>
            </w:r>
            <w:r w:rsidR="00AA6CC9" w:rsidRPr="00AA6CC9">
              <w:rPr>
                <w:rFonts w:ascii="Arial" w:eastAsia="Times New Roman" w:hAnsi="Arial" w:cs="Arial"/>
                <w:kern w:val="0"/>
                <w:sz w:val="18"/>
                <w:szCs w:val="18"/>
                <w:lang w:val="en-IE" w:eastAsia="en-IE"/>
                <w14:ligatures w14:val="none"/>
              </w:rPr>
              <w:t xml:space="preserve">Third </w:t>
            </w:r>
            <w:r w:rsidR="0099196C">
              <w:rPr>
                <w:rFonts w:ascii="Arial" w:eastAsia="Times New Roman" w:hAnsi="Arial" w:cs="Arial"/>
                <w:kern w:val="0"/>
                <w:sz w:val="18"/>
                <w:szCs w:val="18"/>
                <w:lang w:val="en-IE" w:eastAsia="en-IE"/>
                <w14:ligatures w14:val="none"/>
              </w:rPr>
              <w:t>p</w:t>
            </w:r>
            <w:r w:rsidR="00AA6CC9" w:rsidRPr="00AA6CC9">
              <w:rPr>
                <w:rFonts w:ascii="Arial" w:eastAsia="Times New Roman" w:hAnsi="Arial" w:cs="Arial"/>
                <w:kern w:val="0"/>
                <w:sz w:val="18"/>
                <w:szCs w:val="18"/>
                <w:lang w:val="en-IE" w:eastAsia="en-IE"/>
                <w14:ligatures w14:val="none"/>
              </w:rPr>
              <w:t xml:space="preserve">arty </w:t>
            </w:r>
            <w:r w:rsidR="0099196C">
              <w:rPr>
                <w:rFonts w:ascii="Arial" w:eastAsia="Times New Roman" w:hAnsi="Arial" w:cs="Arial"/>
                <w:kern w:val="0"/>
                <w:sz w:val="18"/>
                <w:szCs w:val="18"/>
                <w:lang w:val="en-IE" w:eastAsia="en-IE"/>
                <w14:ligatures w14:val="none"/>
              </w:rPr>
              <w:t>a</w:t>
            </w:r>
            <w:r w:rsidR="00AA6CC9" w:rsidRPr="00AA6CC9">
              <w:rPr>
                <w:rFonts w:ascii="Arial" w:eastAsia="Times New Roman" w:hAnsi="Arial" w:cs="Arial"/>
                <w:kern w:val="0"/>
                <w:sz w:val="18"/>
                <w:szCs w:val="18"/>
                <w:lang w:val="en-IE" w:eastAsia="en-IE"/>
                <w14:ligatures w14:val="none"/>
              </w:rPr>
              <w:t xml:space="preserve">ssessment </w:t>
            </w:r>
          </w:p>
        </w:tc>
        <w:tc>
          <w:tcPr>
            <w:tcW w:w="365" w:type="pct"/>
            <w:tcBorders>
              <w:top w:val="nil"/>
              <w:left w:val="single" w:sz="4" w:space="0" w:color="auto"/>
              <w:bottom w:val="single" w:sz="4" w:space="0" w:color="auto"/>
              <w:right w:val="single" w:sz="4" w:space="0" w:color="auto"/>
            </w:tcBorders>
            <w:shd w:val="clear" w:color="auto" w:fill="auto"/>
            <w:hideMark/>
          </w:tcPr>
          <w:p w14:paraId="6F22ED6A"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approved report</w:t>
            </w:r>
          </w:p>
        </w:tc>
        <w:tc>
          <w:tcPr>
            <w:tcW w:w="365" w:type="pct"/>
            <w:tcBorders>
              <w:top w:val="nil"/>
              <w:left w:val="nil"/>
              <w:bottom w:val="single" w:sz="4" w:space="0" w:color="auto"/>
              <w:right w:val="single" w:sz="4" w:space="0" w:color="auto"/>
            </w:tcBorders>
            <w:shd w:val="clear" w:color="auto" w:fill="auto"/>
            <w:hideMark/>
          </w:tcPr>
          <w:p w14:paraId="29FAF977"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1</w:t>
            </w:r>
          </w:p>
        </w:tc>
        <w:tc>
          <w:tcPr>
            <w:tcW w:w="365" w:type="pct"/>
            <w:tcBorders>
              <w:top w:val="nil"/>
              <w:left w:val="nil"/>
              <w:bottom w:val="single" w:sz="4" w:space="0" w:color="auto"/>
              <w:right w:val="single" w:sz="4" w:space="0" w:color="auto"/>
            </w:tcBorders>
            <w:shd w:val="clear" w:color="auto" w:fill="auto"/>
            <w:hideMark/>
          </w:tcPr>
          <w:p w14:paraId="1C410ABF" w14:textId="515B0445"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064603ED" w14:textId="2BBFB28B"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auto" w:fill="auto"/>
            <w:hideMark/>
          </w:tcPr>
          <w:p w14:paraId="471159F6"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per approved report</w:t>
            </w:r>
          </w:p>
        </w:tc>
        <w:tc>
          <w:tcPr>
            <w:tcW w:w="365" w:type="pct"/>
            <w:tcBorders>
              <w:top w:val="nil"/>
              <w:left w:val="nil"/>
              <w:bottom w:val="single" w:sz="4" w:space="0" w:color="auto"/>
              <w:right w:val="single" w:sz="4" w:space="0" w:color="auto"/>
            </w:tcBorders>
            <w:shd w:val="clear" w:color="auto" w:fill="auto"/>
            <w:hideMark/>
          </w:tcPr>
          <w:p w14:paraId="7FB51B6A"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0</w:t>
            </w:r>
          </w:p>
        </w:tc>
        <w:tc>
          <w:tcPr>
            <w:tcW w:w="365" w:type="pct"/>
            <w:tcBorders>
              <w:top w:val="nil"/>
              <w:left w:val="nil"/>
              <w:bottom w:val="single" w:sz="4" w:space="0" w:color="auto"/>
              <w:right w:val="single" w:sz="4" w:space="0" w:color="auto"/>
            </w:tcBorders>
            <w:shd w:val="clear" w:color="auto" w:fill="auto"/>
            <w:hideMark/>
          </w:tcPr>
          <w:p w14:paraId="61E9A4AC" w14:textId="7431526A"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424" w:type="pct"/>
            <w:tcBorders>
              <w:top w:val="nil"/>
              <w:left w:val="nil"/>
              <w:bottom w:val="single" w:sz="4" w:space="0" w:color="auto"/>
              <w:right w:val="single" w:sz="8" w:space="0" w:color="auto"/>
            </w:tcBorders>
            <w:shd w:val="clear" w:color="auto" w:fill="auto"/>
            <w:hideMark/>
          </w:tcPr>
          <w:p w14:paraId="5B5F3B5E"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0</w:t>
            </w:r>
          </w:p>
        </w:tc>
      </w:tr>
      <w:tr w:rsidR="00AA6CC9" w:rsidRPr="00AA6CC9" w14:paraId="3FAEE0F3" w14:textId="77777777" w:rsidTr="00AA6CC9">
        <w:trPr>
          <w:trHeight w:val="255"/>
        </w:trPr>
        <w:tc>
          <w:tcPr>
            <w:tcW w:w="1961" w:type="pct"/>
            <w:tcBorders>
              <w:top w:val="nil"/>
              <w:left w:val="single" w:sz="8" w:space="0" w:color="auto"/>
              <w:bottom w:val="single" w:sz="4" w:space="0" w:color="auto"/>
              <w:right w:val="nil"/>
            </w:tcBorders>
            <w:shd w:val="clear" w:color="000000" w:fill="D9D9D9"/>
            <w:noWrap/>
            <w:hideMark/>
          </w:tcPr>
          <w:p w14:paraId="03FDCAC5" w14:textId="77777777" w:rsidR="00AA6CC9" w:rsidRPr="00AA6CC9" w:rsidRDefault="00AA6CC9" w:rsidP="00AA6CC9">
            <w:pPr>
              <w:spacing w:before="0" w:after="0" w:line="240" w:lineRule="auto"/>
              <w:jc w:val="right"/>
              <w:rPr>
                <w:rFonts w:ascii="Arial" w:eastAsia="Times New Roman" w:hAnsi="Arial" w:cs="Arial"/>
                <w:i/>
                <w:iCs/>
                <w:kern w:val="0"/>
                <w:sz w:val="18"/>
                <w:szCs w:val="18"/>
                <w:lang w:val="en-IE" w:eastAsia="en-IE"/>
                <w14:ligatures w14:val="none"/>
              </w:rPr>
            </w:pPr>
            <w:r w:rsidRPr="00AA6CC9">
              <w:rPr>
                <w:rFonts w:ascii="Arial" w:eastAsia="Times New Roman" w:hAnsi="Arial" w:cs="Arial"/>
                <w:i/>
                <w:iCs/>
                <w:kern w:val="0"/>
                <w:sz w:val="18"/>
                <w:szCs w:val="18"/>
                <w:lang w:val="en-IE" w:eastAsia="en-IE"/>
                <w14:ligatures w14:val="none"/>
              </w:rPr>
              <w:t>Subtotal for third party assessment</w:t>
            </w:r>
          </w:p>
        </w:tc>
        <w:tc>
          <w:tcPr>
            <w:tcW w:w="365" w:type="pct"/>
            <w:tcBorders>
              <w:top w:val="nil"/>
              <w:left w:val="single" w:sz="4" w:space="0" w:color="auto"/>
              <w:bottom w:val="single" w:sz="4" w:space="0" w:color="auto"/>
              <w:right w:val="single" w:sz="4" w:space="0" w:color="auto"/>
            </w:tcBorders>
            <w:shd w:val="clear" w:color="000000" w:fill="D9D9D9"/>
            <w:hideMark/>
          </w:tcPr>
          <w:p w14:paraId="3A588C5B"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720D6003"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062954F2"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7AAC7325" w14:textId="23339722"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3</w:t>
            </w:r>
            <w:r w:rsidR="008B4091">
              <w:rPr>
                <w:rFonts w:ascii="Arial" w:eastAsia="Times New Roman" w:hAnsi="Arial" w:cs="Arial"/>
                <w:kern w:val="0"/>
                <w:sz w:val="18"/>
                <w:szCs w:val="18"/>
                <w:lang w:val="en-IE" w:eastAsia="en-IE"/>
                <w14:ligatures w14:val="none"/>
              </w:rPr>
              <w:t xml:space="preserve"> </w:t>
            </w:r>
            <w:r w:rsidRPr="00AA6CC9">
              <w:rPr>
                <w:rFonts w:ascii="Arial" w:eastAsia="Times New Roman" w:hAnsi="Arial" w:cs="Arial"/>
                <w:kern w:val="0"/>
                <w:sz w:val="18"/>
                <w:szCs w:val="18"/>
                <w:lang w:val="en-IE" w:eastAsia="en-IE"/>
                <w14:ligatures w14:val="none"/>
              </w:rPr>
              <w:t>000</w:t>
            </w:r>
          </w:p>
        </w:tc>
        <w:tc>
          <w:tcPr>
            <w:tcW w:w="365" w:type="pct"/>
            <w:tcBorders>
              <w:top w:val="nil"/>
              <w:left w:val="single" w:sz="4" w:space="0" w:color="auto"/>
              <w:bottom w:val="single" w:sz="4" w:space="0" w:color="auto"/>
              <w:right w:val="single" w:sz="4" w:space="0" w:color="auto"/>
            </w:tcBorders>
            <w:shd w:val="clear" w:color="000000" w:fill="D9D9D9"/>
            <w:hideMark/>
          </w:tcPr>
          <w:p w14:paraId="44CA4B3A"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1FB4C26B"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365" w:type="pct"/>
            <w:tcBorders>
              <w:top w:val="nil"/>
              <w:left w:val="nil"/>
              <w:bottom w:val="single" w:sz="4" w:space="0" w:color="auto"/>
              <w:right w:val="single" w:sz="4" w:space="0" w:color="auto"/>
            </w:tcBorders>
            <w:shd w:val="clear" w:color="000000" w:fill="D9D9D9"/>
            <w:hideMark/>
          </w:tcPr>
          <w:p w14:paraId="74934E3F"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N/A</w:t>
            </w:r>
          </w:p>
        </w:tc>
        <w:tc>
          <w:tcPr>
            <w:tcW w:w="424" w:type="pct"/>
            <w:tcBorders>
              <w:top w:val="nil"/>
              <w:left w:val="nil"/>
              <w:bottom w:val="single" w:sz="4" w:space="0" w:color="auto"/>
              <w:right w:val="single" w:sz="8" w:space="0" w:color="auto"/>
            </w:tcBorders>
            <w:shd w:val="clear" w:color="000000" w:fill="D9D9D9"/>
            <w:hideMark/>
          </w:tcPr>
          <w:p w14:paraId="522DBCC0" w14:textId="77777777" w:rsidR="00AA6CC9" w:rsidRPr="00AA6CC9" w:rsidRDefault="00AA6CC9" w:rsidP="00AA6CC9">
            <w:pPr>
              <w:spacing w:before="0" w:after="0" w:line="240" w:lineRule="auto"/>
              <w:jc w:val="righ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0</w:t>
            </w:r>
          </w:p>
        </w:tc>
      </w:tr>
      <w:tr w:rsidR="00AA6CC9" w:rsidRPr="00AA6CC9" w14:paraId="75BBB5AD" w14:textId="77777777" w:rsidTr="00AA6CC9">
        <w:trPr>
          <w:trHeight w:val="255"/>
        </w:trPr>
        <w:tc>
          <w:tcPr>
            <w:tcW w:w="1961" w:type="pct"/>
            <w:tcBorders>
              <w:top w:val="nil"/>
              <w:left w:val="single" w:sz="8" w:space="0" w:color="auto"/>
              <w:bottom w:val="single" w:sz="4" w:space="0" w:color="auto"/>
              <w:right w:val="nil"/>
            </w:tcBorders>
            <w:shd w:val="clear" w:color="auto" w:fill="auto"/>
            <w:hideMark/>
          </w:tcPr>
          <w:p w14:paraId="32F8A3E5" w14:textId="77777777" w:rsidR="00AA6CC9" w:rsidRPr="00AA6CC9" w:rsidRDefault="00AA6CC9" w:rsidP="00AA6CC9">
            <w:pPr>
              <w:spacing w:before="0" w:after="0" w:line="240" w:lineRule="auto"/>
              <w:jc w:val="left"/>
              <w:rPr>
                <w:rFonts w:ascii="Arial" w:eastAsia="Times New Roman" w:hAnsi="Arial" w:cs="Arial"/>
                <w:i/>
                <w:iCs/>
                <w:kern w:val="0"/>
                <w:sz w:val="18"/>
                <w:szCs w:val="18"/>
                <w:lang w:val="en-IE" w:eastAsia="en-IE"/>
                <w14:ligatures w14:val="none"/>
              </w:rPr>
            </w:pPr>
            <w:r w:rsidRPr="00AA6CC9">
              <w:rPr>
                <w:rFonts w:ascii="Arial" w:eastAsia="Times New Roman" w:hAnsi="Arial" w:cs="Arial"/>
                <w:i/>
                <w:iCs/>
                <w:kern w:val="0"/>
                <w:sz w:val="18"/>
                <w:szCs w:val="18"/>
                <w:lang w:val="en-IE" w:eastAsia="en-IE"/>
                <w14:ligatures w14:val="none"/>
              </w:rPr>
              <w:t> </w:t>
            </w:r>
          </w:p>
        </w:tc>
        <w:tc>
          <w:tcPr>
            <w:tcW w:w="365" w:type="pct"/>
            <w:tcBorders>
              <w:top w:val="nil"/>
              <w:left w:val="nil"/>
              <w:bottom w:val="single" w:sz="4" w:space="0" w:color="auto"/>
              <w:right w:val="nil"/>
            </w:tcBorders>
            <w:shd w:val="clear" w:color="auto" w:fill="auto"/>
            <w:hideMark/>
          </w:tcPr>
          <w:p w14:paraId="07B444F6"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w:t>
            </w:r>
          </w:p>
        </w:tc>
        <w:tc>
          <w:tcPr>
            <w:tcW w:w="365" w:type="pct"/>
            <w:tcBorders>
              <w:top w:val="nil"/>
              <w:left w:val="nil"/>
              <w:bottom w:val="single" w:sz="4" w:space="0" w:color="auto"/>
              <w:right w:val="nil"/>
            </w:tcBorders>
            <w:shd w:val="clear" w:color="auto" w:fill="auto"/>
            <w:hideMark/>
          </w:tcPr>
          <w:p w14:paraId="29C650C2" w14:textId="77777777"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w:t>
            </w:r>
          </w:p>
        </w:tc>
        <w:tc>
          <w:tcPr>
            <w:tcW w:w="365" w:type="pct"/>
            <w:tcBorders>
              <w:top w:val="nil"/>
              <w:left w:val="nil"/>
              <w:bottom w:val="nil"/>
              <w:right w:val="nil"/>
            </w:tcBorders>
            <w:shd w:val="clear" w:color="auto" w:fill="auto"/>
            <w:hideMark/>
          </w:tcPr>
          <w:p w14:paraId="3814EF94" w14:textId="77777777"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p>
        </w:tc>
        <w:tc>
          <w:tcPr>
            <w:tcW w:w="424" w:type="pct"/>
            <w:tcBorders>
              <w:top w:val="nil"/>
              <w:left w:val="nil"/>
              <w:bottom w:val="single" w:sz="4" w:space="0" w:color="auto"/>
              <w:right w:val="single" w:sz="8" w:space="0" w:color="auto"/>
            </w:tcBorders>
            <w:shd w:val="clear" w:color="auto" w:fill="auto"/>
            <w:hideMark/>
          </w:tcPr>
          <w:p w14:paraId="1637D716" w14:textId="77777777"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w:t>
            </w:r>
          </w:p>
        </w:tc>
        <w:tc>
          <w:tcPr>
            <w:tcW w:w="365" w:type="pct"/>
            <w:tcBorders>
              <w:top w:val="nil"/>
              <w:left w:val="nil"/>
              <w:bottom w:val="nil"/>
              <w:right w:val="single" w:sz="4" w:space="0" w:color="auto"/>
            </w:tcBorders>
            <w:shd w:val="clear" w:color="auto" w:fill="auto"/>
            <w:hideMark/>
          </w:tcPr>
          <w:p w14:paraId="7743240E" w14:textId="77777777" w:rsidR="00AA6CC9" w:rsidRPr="00AA6CC9" w:rsidRDefault="00AA6CC9" w:rsidP="00AA6CC9">
            <w:pPr>
              <w:spacing w:before="0" w:after="0" w:line="240" w:lineRule="auto"/>
              <w:jc w:val="center"/>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w:t>
            </w:r>
          </w:p>
        </w:tc>
        <w:tc>
          <w:tcPr>
            <w:tcW w:w="365" w:type="pct"/>
            <w:tcBorders>
              <w:top w:val="nil"/>
              <w:left w:val="nil"/>
              <w:bottom w:val="single" w:sz="4" w:space="0" w:color="auto"/>
              <w:right w:val="nil"/>
            </w:tcBorders>
            <w:shd w:val="clear" w:color="auto" w:fill="auto"/>
            <w:hideMark/>
          </w:tcPr>
          <w:p w14:paraId="65CB2EB6" w14:textId="77777777"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w:t>
            </w:r>
          </w:p>
        </w:tc>
        <w:tc>
          <w:tcPr>
            <w:tcW w:w="365" w:type="pct"/>
            <w:tcBorders>
              <w:top w:val="nil"/>
              <w:left w:val="nil"/>
              <w:bottom w:val="single" w:sz="4" w:space="0" w:color="auto"/>
              <w:right w:val="single" w:sz="4" w:space="0" w:color="auto"/>
            </w:tcBorders>
            <w:shd w:val="clear" w:color="auto" w:fill="auto"/>
            <w:hideMark/>
          </w:tcPr>
          <w:p w14:paraId="3ECBDF3F" w14:textId="77777777"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w:t>
            </w:r>
          </w:p>
        </w:tc>
        <w:tc>
          <w:tcPr>
            <w:tcW w:w="424" w:type="pct"/>
            <w:tcBorders>
              <w:top w:val="nil"/>
              <w:left w:val="nil"/>
              <w:bottom w:val="nil"/>
              <w:right w:val="single" w:sz="8" w:space="0" w:color="auto"/>
            </w:tcBorders>
            <w:shd w:val="clear" w:color="auto" w:fill="auto"/>
            <w:hideMark/>
          </w:tcPr>
          <w:p w14:paraId="2E4059A4" w14:textId="77777777" w:rsidR="00AA6CC9" w:rsidRPr="00AA6CC9" w:rsidRDefault="00AA6CC9" w:rsidP="00AA6CC9">
            <w:pPr>
              <w:spacing w:before="0" w:after="0" w:line="240" w:lineRule="auto"/>
              <w:jc w:val="left"/>
              <w:rPr>
                <w:rFonts w:ascii="Arial" w:eastAsia="Times New Roman" w:hAnsi="Arial" w:cs="Arial"/>
                <w:kern w:val="0"/>
                <w:sz w:val="18"/>
                <w:szCs w:val="18"/>
                <w:lang w:val="en-IE" w:eastAsia="en-IE"/>
                <w14:ligatures w14:val="none"/>
              </w:rPr>
            </w:pPr>
            <w:r w:rsidRPr="00AA6CC9">
              <w:rPr>
                <w:rFonts w:ascii="Arial" w:eastAsia="Times New Roman" w:hAnsi="Arial" w:cs="Arial"/>
                <w:kern w:val="0"/>
                <w:sz w:val="18"/>
                <w:szCs w:val="18"/>
                <w:lang w:val="en-IE" w:eastAsia="en-IE"/>
                <w14:ligatures w14:val="none"/>
              </w:rPr>
              <w:t> </w:t>
            </w:r>
          </w:p>
        </w:tc>
      </w:tr>
      <w:tr w:rsidR="00AA6CC9" w:rsidRPr="00AA6CC9" w14:paraId="47F28EA0" w14:textId="77777777" w:rsidTr="00AA6CC9">
        <w:trPr>
          <w:trHeight w:val="330"/>
        </w:trPr>
        <w:tc>
          <w:tcPr>
            <w:tcW w:w="1961" w:type="pct"/>
            <w:tcBorders>
              <w:top w:val="nil"/>
              <w:left w:val="single" w:sz="8" w:space="0" w:color="auto"/>
              <w:bottom w:val="single" w:sz="8" w:space="0" w:color="auto"/>
              <w:right w:val="nil"/>
            </w:tcBorders>
            <w:shd w:val="clear" w:color="000000" w:fill="BFBFBF"/>
            <w:hideMark/>
          </w:tcPr>
          <w:p w14:paraId="3D35AA87" w14:textId="77777777" w:rsidR="00AA6CC9" w:rsidRPr="00AA6CC9" w:rsidRDefault="00AA6CC9" w:rsidP="00AA6CC9">
            <w:pPr>
              <w:spacing w:before="0" w:after="0" w:line="240" w:lineRule="auto"/>
              <w:jc w:val="left"/>
              <w:rPr>
                <w:rFonts w:ascii="Arial" w:eastAsia="Times New Roman" w:hAnsi="Arial" w:cs="Arial"/>
                <w:b/>
                <w:bCs/>
                <w:kern w:val="0"/>
                <w:sz w:val="18"/>
                <w:szCs w:val="18"/>
                <w:lang w:val="en-IE" w:eastAsia="en-IE"/>
                <w14:ligatures w14:val="none"/>
              </w:rPr>
            </w:pPr>
            <w:r w:rsidRPr="00AA6CC9">
              <w:rPr>
                <w:rFonts w:ascii="Arial" w:eastAsia="Times New Roman" w:hAnsi="Arial" w:cs="Arial"/>
                <w:b/>
                <w:bCs/>
                <w:kern w:val="0"/>
                <w:sz w:val="18"/>
                <w:szCs w:val="18"/>
                <w:lang w:val="en-IE" w:eastAsia="en-IE"/>
                <w14:ligatures w14:val="none"/>
              </w:rPr>
              <w:t>2. Total amount of the action</w:t>
            </w:r>
          </w:p>
        </w:tc>
        <w:tc>
          <w:tcPr>
            <w:tcW w:w="365" w:type="pct"/>
            <w:tcBorders>
              <w:top w:val="nil"/>
              <w:left w:val="nil"/>
              <w:bottom w:val="single" w:sz="8" w:space="0" w:color="auto"/>
              <w:right w:val="nil"/>
            </w:tcBorders>
            <w:shd w:val="clear" w:color="000000" w:fill="C0C0C0"/>
            <w:hideMark/>
          </w:tcPr>
          <w:p w14:paraId="4EDBE079" w14:textId="77777777" w:rsidR="00AA6CC9" w:rsidRPr="00AA6CC9" w:rsidRDefault="00AA6CC9" w:rsidP="00AA6CC9">
            <w:pPr>
              <w:spacing w:before="0" w:after="0" w:line="240" w:lineRule="auto"/>
              <w:jc w:val="center"/>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 </w:t>
            </w:r>
          </w:p>
        </w:tc>
        <w:tc>
          <w:tcPr>
            <w:tcW w:w="365" w:type="pct"/>
            <w:tcBorders>
              <w:top w:val="nil"/>
              <w:left w:val="nil"/>
              <w:bottom w:val="single" w:sz="8" w:space="0" w:color="auto"/>
              <w:right w:val="nil"/>
            </w:tcBorders>
            <w:shd w:val="clear" w:color="000000" w:fill="C0C0C0"/>
            <w:hideMark/>
          </w:tcPr>
          <w:p w14:paraId="643F5D38" w14:textId="77777777" w:rsidR="00AA6CC9" w:rsidRPr="00AA6CC9" w:rsidRDefault="00AA6CC9" w:rsidP="00AA6CC9">
            <w:pPr>
              <w:spacing w:before="0" w:after="0" w:line="240" w:lineRule="auto"/>
              <w:jc w:val="left"/>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 </w:t>
            </w:r>
          </w:p>
        </w:tc>
        <w:tc>
          <w:tcPr>
            <w:tcW w:w="365" w:type="pct"/>
            <w:tcBorders>
              <w:top w:val="single" w:sz="4" w:space="0" w:color="auto"/>
              <w:left w:val="nil"/>
              <w:bottom w:val="single" w:sz="8" w:space="0" w:color="auto"/>
              <w:right w:val="nil"/>
            </w:tcBorders>
            <w:shd w:val="clear" w:color="000000" w:fill="C0C0C0"/>
            <w:hideMark/>
          </w:tcPr>
          <w:p w14:paraId="6DE81052" w14:textId="77777777" w:rsidR="00AA6CC9" w:rsidRPr="00AA6CC9" w:rsidRDefault="00AA6CC9" w:rsidP="00AA6CC9">
            <w:pPr>
              <w:spacing w:before="0" w:after="0" w:line="240" w:lineRule="auto"/>
              <w:jc w:val="left"/>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 </w:t>
            </w:r>
          </w:p>
        </w:tc>
        <w:tc>
          <w:tcPr>
            <w:tcW w:w="424" w:type="pct"/>
            <w:tcBorders>
              <w:top w:val="nil"/>
              <w:left w:val="nil"/>
              <w:bottom w:val="single" w:sz="8" w:space="0" w:color="auto"/>
              <w:right w:val="single" w:sz="8" w:space="0" w:color="auto"/>
            </w:tcBorders>
            <w:shd w:val="clear" w:color="000000" w:fill="C0C0C0"/>
            <w:hideMark/>
          </w:tcPr>
          <w:p w14:paraId="7AC717F7" w14:textId="0D39B91D" w:rsidR="00AA6CC9" w:rsidRPr="00AA6CC9" w:rsidRDefault="00AA6CC9" w:rsidP="00AA6CC9">
            <w:pPr>
              <w:spacing w:before="0" w:after="0" w:line="240" w:lineRule="auto"/>
              <w:jc w:val="right"/>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413</w:t>
            </w:r>
            <w:r w:rsidR="008B4091">
              <w:rPr>
                <w:rFonts w:ascii="Arial" w:eastAsia="Times New Roman" w:hAnsi="Arial" w:cs="Arial"/>
                <w:b/>
                <w:bCs/>
                <w:i/>
                <w:iCs/>
                <w:kern w:val="0"/>
                <w:sz w:val="18"/>
                <w:szCs w:val="18"/>
                <w:lang w:val="en-IE" w:eastAsia="en-IE"/>
                <w14:ligatures w14:val="none"/>
              </w:rPr>
              <w:t xml:space="preserve"> </w:t>
            </w:r>
            <w:r w:rsidRPr="00AA6CC9">
              <w:rPr>
                <w:rFonts w:ascii="Arial" w:eastAsia="Times New Roman" w:hAnsi="Arial" w:cs="Arial"/>
                <w:b/>
                <w:bCs/>
                <w:i/>
                <w:iCs/>
                <w:kern w:val="0"/>
                <w:sz w:val="18"/>
                <w:szCs w:val="18"/>
                <w:lang w:val="en-IE" w:eastAsia="en-IE"/>
                <w14:ligatures w14:val="none"/>
              </w:rPr>
              <w:t>000</w:t>
            </w:r>
          </w:p>
        </w:tc>
        <w:tc>
          <w:tcPr>
            <w:tcW w:w="365" w:type="pct"/>
            <w:tcBorders>
              <w:top w:val="single" w:sz="4" w:space="0" w:color="auto"/>
              <w:left w:val="nil"/>
              <w:bottom w:val="single" w:sz="8" w:space="0" w:color="auto"/>
              <w:right w:val="nil"/>
            </w:tcBorders>
            <w:shd w:val="clear" w:color="000000" w:fill="C0C0C0"/>
            <w:hideMark/>
          </w:tcPr>
          <w:p w14:paraId="42EF5A70" w14:textId="77777777" w:rsidR="00AA6CC9" w:rsidRPr="00AA6CC9" w:rsidRDefault="00AA6CC9" w:rsidP="00AA6CC9">
            <w:pPr>
              <w:spacing w:before="0" w:after="0" w:line="240" w:lineRule="auto"/>
              <w:jc w:val="left"/>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 </w:t>
            </w:r>
          </w:p>
        </w:tc>
        <w:tc>
          <w:tcPr>
            <w:tcW w:w="365" w:type="pct"/>
            <w:tcBorders>
              <w:top w:val="nil"/>
              <w:left w:val="nil"/>
              <w:bottom w:val="single" w:sz="8" w:space="0" w:color="auto"/>
              <w:right w:val="nil"/>
            </w:tcBorders>
            <w:shd w:val="clear" w:color="000000" w:fill="C0C0C0"/>
            <w:hideMark/>
          </w:tcPr>
          <w:p w14:paraId="736D5054" w14:textId="77777777" w:rsidR="00AA6CC9" w:rsidRPr="00AA6CC9" w:rsidRDefault="00AA6CC9" w:rsidP="00AA6CC9">
            <w:pPr>
              <w:spacing w:before="0" w:after="0" w:line="240" w:lineRule="auto"/>
              <w:jc w:val="left"/>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 </w:t>
            </w:r>
          </w:p>
        </w:tc>
        <w:tc>
          <w:tcPr>
            <w:tcW w:w="365" w:type="pct"/>
            <w:tcBorders>
              <w:top w:val="nil"/>
              <w:left w:val="nil"/>
              <w:bottom w:val="single" w:sz="8" w:space="0" w:color="auto"/>
              <w:right w:val="single" w:sz="4" w:space="0" w:color="auto"/>
            </w:tcBorders>
            <w:shd w:val="clear" w:color="000000" w:fill="C0C0C0"/>
            <w:hideMark/>
          </w:tcPr>
          <w:p w14:paraId="43AF97F5" w14:textId="77777777" w:rsidR="00AA6CC9" w:rsidRPr="00AA6CC9" w:rsidRDefault="00AA6CC9" w:rsidP="00AA6CC9">
            <w:pPr>
              <w:spacing w:before="0" w:after="0" w:line="240" w:lineRule="auto"/>
              <w:jc w:val="left"/>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 </w:t>
            </w:r>
          </w:p>
        </w:tc>
        <w:tc>
          <w:tcPr>
            <w:tcW w:w="424" w:type="pct"/>
            <w:tcBorders>
              <w:top w:val="single" w:sz="4" w:space="0" w:color="auto"/>
              <w:left w:val="nil"/>
              <w:bottom w:val="single" w:sz="8" w:space="0" w:color="auto"/>
              <w:right w:val="single" w:sz="8" w:space="0" w:color="auto"/>
            </w:tcBorders>
            <w:shd w:val="clear" w:color="000000" w:fill="C0C0C0"/>
            <w:hideMark/>
          </w:tcPr>
          <w:p w14:paraId="42656C25" w14:textId="7A7F4521" w:rsidR="00AA6CC9" w:rsidRPr="00AA6CC9" w:rsidRDefault="00AA6CC9" w:rsidP="00AA6CC9">
            <w:pPr>
              <w:spacing w:before="0" w:after="0" w:line="240" w:lineRule="auto"/>
              <w:jc w:val="right"/>
              <w:rPr>
                <w:rFonts w:ascii="Arial" w:eastAsia="Times New Roman" w:hAnsi="Arial" w:cs="Arial"/>
                <w:b/>
                <w:bCs/>
                <w:i/>
                <w:iCs/>
                <w:kern w:val="0"/>
                <w:sz w:val="18"/>
                <w:szCs w:val="18"/>
                <w:lang w:val="en-IE" w:eastAsia="en-IE"/>
                <w14:ligatures w14:val="none"/>
              </w:rPr>
            </w:pPr>
            <w:r w:rsidRPr="00AA6CC9">
              <w:rPr>
                <w:rFonts w:ascii="Arial" w:eastAsia="Times New Roman" w:hAnsi="Arial" w:cs="Arial"/>
                <w:b/>
                <w:bCs/>
                <w:i/>
                <w:iCs/>
                <w:kern w:val="0"/>
                <w:sz w:val="18"/>
                <w:szCs w:val="18"/>
                <w:lang w:val="en-IE" w:eastAsia="en-IE"/>
                <w14:ligatures w14:val="none"/>
              </w:rPr>
              <w:t>95</w:t>
            </w:r>
            <w:r w:rsidR="008B4091">
              <w:rPr>
                <w:rFonts w:ascii="Arial" w:eastAsia="Times New Roman" w:hAnsi="Arial" w:cs="Arial"/>
                <w:b/>
                <w:bCs/>
                <w:i/>
                <w:iCs/>
                <w:kern w:val="0"/>
                <w:sz w:val="18"/>
                <w:szCs w:val="18"/>
                <w:lang w:val="en-IE" w:eastAsia="en-IE"/>
                <w14:ligatures w14:val="none"/>
              </w:rPr>
              <w:t xml:space="preserve"> </w:t>
            </w:r>
            <w:r w:rsidRPr="00AA6CC9">
              <w:rPr>
                <w:rFonts w:ascii="Arial" w:eastAsia="Times New Roman" w:hAnsi="Arial" w:cs="Arial"/>
                <w:b/>
                <w:bCs/>
                <w:i/>
                <w:iCs/>
                <w:kern w:val="0"/>
                <w:sz w:val="18"/>
                <w:szCs w:val="18"/>
                <w:lang w:val="en-IE" w:eastAsia="en-IE"/>
                <w14:ligatures w14:val="none"/>
              </w:rPr>
              <w:t>000</w:t>
            </w:r>
          </w:p>
        </w:tc>
      </w:tr>
    </w:tbl>
    <w:p w14:paraId="64CC300C" w14:textId="65B195F6" w:rsidR="00770F73" w:rsidRDefault="00770F73">
      <w:pPr>
        <w:spacing w:before="0" w:after="160"/>
        <w:jc w:val="left"/>
        <w:rPr>
          <w:rFonts w:cs="Arial"/>
        </w:rPr>
      </w:pPr>
      <w:r>
        <w:rPr>
          <w:rFonts w:cs="Arial"/>
        </w:rPr>
        <w:br w:type="page"/>
      </w:r>
    </w:p>
    <w:p w14:paraId="68D2F3C7" w14:textId="77777777" w:rsidR="00A62323" w:rsidRDefault="00A62323" w:rsidP="00A62323">
      <w:pPr>
        <w:rPr>
          <w:rFonts w:cs="Arial"/>
        </w:rPr>
      </w:pPr>
    </w:p>
    <w:p w14:paraId="085C1707" w14:textId="1A182635" w:rsidR="00A62323" w:rsidRDefault="00A62323" w:rsidP="00A62323">
      <w:pPr>
        <w:rPr>
          <w:rFonts w:cs="Arial"/>
          <w:sz w:val="21"/>
          <w:szCs w:val="21"/>
        </w:rPr>
      </w:pPr>
      <w:r>
        <w:rPr>
          <w:rFonts w:cs="Arial"/>
        </w:rPr>
        <w:t>The indicative</w:t>
      </w:r>
      <w:r w:rsidR="00FB7C19">
        <w:rPr>
          <w:rFonts w:cs="Arial"/>
        </w:rPr>
        <w:t xml:space="preserve"> self-guidance</w:t>
      </w:r>
      <w:r>
        <w:rPr>
          <w:rFonts w:cs="Arial"/>
        </w:rPr>
        <w:t xml:space="preserve"> </w:t>
      </w:r>
      <w:r w:rsidRPr="00165C0C">
        <w:rPr>
          <w:rFonts w:cs="Arial"/>
          <w:b/>
          <w:bCs/>
        </w:rPr>
        <w:t>checklist</w:t>
      </w:r>
      <w:r>
        <w:rPr>
          <w:rFonts w:cs="Arial"/>
        </w:rPr>
        <w:t xml:space="preserve"> provided below </w:t>
      </w:r>
      <w:r>
        <w:t>aims to</w:t>
      </w:r>
      <w:r w:rsidRPr="00AF37CC">
        <w:t xml:space="preserve"> </w:t>
      </w:r>
      <w:r>
        <w:t>support</w:t>
      </w:r>
      <w:r w:rsidRPr="00AF37CC">
        <w:t xml:space="preserve"> </w:t>
      </w:r>
      <w:r>
        <w:t xml:space="preserve">the </w:t>
      </w:r>
      <w:r w:rsidR="00DD0F73">
        <w:t xml:space="preserve">applicant </w:t>
      </w:r>
      <w:r w:rsidRPr="00AF37CC">
        <w:t xml:space="preserve">to </w:t>
      </w:r>
      <w:r w:rsidR="0024544A" w:rsidRPr="0024544A">
        <w:t xml:space="preserve">make sure the Budget of an intervention that uses FNLC is correctly crafted. The amounts related to the results measured via </w:t>
      </w:r>
      <w:r w:rsidR="0024544A">
        <w:t>performance</w:t>
      </w:r>
      <w:r w:rsidR="0024544A" w:rsidRPr="0024544A">
        <w:t xml:space="preserve"> indicators, as clearly identified in the </w:t>
      </w:r>
      <w:r w:rsidR="0024544A">
        <w:t xml:space="preserve">application </w:t>
      </w:r>
      <w:r w:rsidR="00706071">
        <w:t xml:space="preserve">form </w:t>
      </w:r>
      <w:r w:rsidR="0024544A">
        <w:t>(Annex e3b)</w:t>
      </w:r>
      <w:r w:rsidR="0024544A" w:rsidRPr="0024544A">
        <w:t xml:space="preserve"> and </w:t>
      </w:r>
      <w:r w:rsidR="0024544A">
        <w:t>the</w:t>
      </w:r>
      <w:r w:rsidR="0024544A" w:rsidRPr="0024544A">
        <w:t xml:space="preserve"> </w:t>
      </w:r>
      <w:proofErr w:type="spellStart"/>
      <w:r w:rsidR="0024544A" w:rsidRPr="0024544A">
        <w:t>Logframe</w:t>
      </w:r>
      <w:proofErr w:type="spellEnd"/>
      <w:r w:rsidR="0024544A" w:rsidRPr="0024544A">
        <w:t xml:space="preserve"> (</w:t>
      </w:r>
      <w:r w:rsidR="004052E4">
        <w:t>Annex e3</w:t>
      </w:r>
      <w:r w:rsidR="009D0428">
        <w:t>d</w:t>
      </w:r>
      <w:r w:rsidR="0024544A" w:rsidRPr="0024544A">
        <w:t>), are to be faithfully transposed in the budget.</w:t>
      </w:r>
      <w:r w:rsidRPr="00AF37CC">
        <w:t xml:space="preserve"> This checklist is </w:t>
      </w:r>
      <w:r>
        <w:t xml:space="preserve">purely indicative and </w:t>
      </w:r>
      <w:r w:rsidRPr="002217C7">
        <w:rPr>
          <w:b/>
        </w:rPr>
        <w:t>not to be filled in by the</w:t>
      </w:r>
      <w:r w:rsidR="00DD0F73" w:rsidRPr="002217C7">
        <w:rPr>
          <w:b/>
        </w:rPr>
        <w:t xml:space="preserve"> applicant</w:t>
      </w:r>
      <w:r w:rsidR="00662BBF">
        <w:rPr>
          <w:b/>
        </w:rPr>
        <w:t xml:space="preserve"> as part of the Application For</w:t>
      </w:r>
      <w:r w:rsidR="00C95DC8">
        <w:rPr>
          <w:b/>
        </w:rPr>
        <w:t>m</w:t>
      </w:r>
      <w:r w:rsidRPr="00AF37CC">
        <w:rPr>
          <w:rFonts w:cs="Arial"/>
          <w:sz w:val="21"/>
          <w:szCs w:val="21"/>
        </w:rPr>
        <w:t>.</w:t>
      </w:r>
    </w:p>
    <w:p w14:paraId="522B4C14" w14:textId="77777777" w:rsidR="002B51DD" w:rsidRDefault="002B51DD" w:rsidP="002B51DD"/>
    <w:p w14:paraId="62128177" w14:textId="2B7E72BB" w:rsidR="002B51DD" w:rsidRPr="00F80445" w:rsidRDefault="002B51DD" w:rsidP="002B51DD">
      <w:pPr>
        <w:spacing w:before="100"/>
        <w:rPr>
          <w:rFonts w:cs="Arial"/>
          <w:i/>
          <w:iCs/>
        </w:rPr>
      </w:pPr>
      <w:r w:rsidRPr="00511B51">
        <w:rPr>
          <w:rStyle w:val="ui-provider"/>
          <w:rFonts w:cs="Arial"/>
          <w:i/>
          <w:iCs/>
        </w:rPr>
        <w:t xml:space="preserve">Indicative </w:t>
      </w:r>
      <w:r w:rsidR="00EB4D4D">
        <w:rPr>
          <w:rStyle w:val="ui-provider"/>
          <w:rFonts w:cs="Arial"/>
          <w:i/>
          <w:iCs/>
        </w:rPr>
        <w:t xml:space="preserve">self-guidance </w:t>
      </w:r>
      <w:r w:rsidRPr="00511B51">
        <w:rPr>
          <w:rStyle w:val="ui-provider"/>
          <w:rFonts w:cs="Arial"/>
          <w:i/>
          <w:iCs/>
        </w:rPr>
        <w:t>checklists for budgeting FNLC results and indicators</w:t>
      </w:r>
      <w:r>
        <w:rPr>
          <w:rStyle w:val="ui-provider"/>
          <w:rFonts w:cs="Arial"/>
          <w:i/>
          <w:iCs/>
        </w:rPr>
        <w:t>:</w:t>
      </w:r>
    </w:p>
    <w:tbl>
      <w:tblPr>
        <w:tblStyle w:val="TableGridLight"/>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118"/>
        <w:gridCol w:w="1420"/>
        <w:gridCol w:w="4763"/>
      </w:tblGrid>
      <w:tr w:rsidR="002B51DD" w:rsidRPr="006B414D" w14:paraId="1D145672" w14:textId="77777777" w:rsidTr="00777F55">
        <w:trPr>
          <w:tblHeader/>
        </w:trPr>
        <w:tc>
          <w:tcPr>
            <w:tcW w:w="2792" w:type="pct"/>
            <w:gridSpan w:val="2"/>
            <w:shd w:val="clear" w:color="auto" w:fill="E7E6E6" w:themeFill="background2"/>
            <w:vAlign w:val="center"/>
          </w:tcPr>
          <w:p w14:paraId="7AFDA923" w14:textId="77777777" w:rsidR="002B51DD" w:rsidRPr="006B414D" w:rsidRDefault="002B51DD" w:rsidP="00777F55">
            <w:pPr>
              <w:spacing w:before="120" w:after="120" w:line="240" w:lineRule="exact"/>
              <w:rPr>
                <w:rFonts w:cs="Arial"/>
                <w:b/>
                <w:bCs/>
                <w:lang w:val="en-GB"/>
              </w:rPr>
            </w:pPr>
            <w:r w:rsidRPr="006B414D">
              <w:rPr>
                <w:rFonts w:cs="Arial"/>
                <w:b/>
                <w:bCs/>
                <w:lang w:val="en-GB"/>
              </w:rPr>
              <w:t>Are the contractable indicators selected for FNLC fit for purpose?</w:t>
            </w:r>
          </w:p>
        </w:tc>
        <w:tc>
          <w:tcPr>
            <w:tcW w:w="507" w:type="pct"/>
            <w:shd w:val="clear" w:color="auto" w:fill="E7E6E6" w:themeFill="background2"/>
            <w:vAlign w:val="center"/>
          </w:tcPr>
          <w:p w14:paraId="704EAE08" w14:textId="77777777" w:rsidR="002B51DD" w:rsidRPr="006B414D" w:rsidRDefault="002B51DD" w:rsidP="00777F55">
            <w:pPr>
              <w:spacing w:before="120" w:after="120" w:line="240" w:lineRule="exact"/>
              <w:jc w:val="center"/>
              <w:rPr>
                <w:rFonts w:cs="Arial"/>
                <w:b/>
                <w:bCs/>
                <w:lang w:val="en-GB"/>
              </w:rPr>
            </w:pPr>
            <w:r w:rsidRPr="006B414D">
              <w:rPr>
                <w:rFonts w:cs="Arial"/>
                <w:b/>
                <w:bCs/>
                <w:lang w:val="en-GB"/>
              </w:rPr>
              <w:t>Yes/No</w:t>
            </w:r>
          </w:p>
        </w:tc>
        <w:tc>
          <w:tcPr>
            <w:tcW w:w="1701" w:type="pct"/>
            <w:shd w:val="clear" w:color="auto" w:fill="E7E6E6" w:themeFill="background2"/>
            <w:vAlign w:val="center"/>
          </w:tcPr>
          <w:p w14:paraId="15774EBD" w14:textId="77777777" w:rsidR="002B51DD" w:rsidRPr="006B414D" w:rsidRDefault="002B51DD" w:rsidP="00777F55">
            <w:pPr>
              <w:spacing w:before="120" w:after="120" w:line="240" w:lineRule="exact"/>
              <w:jc w:val="center"/>
              <w:rPr>
                <w:rFonts w:cs="Arial"/>
                <w:b/>
                <w:bCs/>
                <w:lang w:val="en-GB"/>
              </w:rPr>
            </w:pPr>
            <w:r w:rsidRPr="006B414D">
              <w:rPr>
                <w:rFonts w:cs="Arial"/>
                <w:b/>
                <w:bCs/>
                <w:lang w:val="en-GB"/>
              </w:rPr>
              <w:t>Comment/explanation</w:t>
            </w:r>
          </w:p>
        </w:tc>
      </w:tr>
      <w:tr w:rsidR="002B51DD" w:rsidRPr="006B414D" w14:paraId="414D1885" w14:textId="77777777" w:rsidTr="00777F55">
        <w:tc>
          <w:tcPr>
            <w:tcW w:w="250" w:type="pct"/>
          </w:tcPr>
          <w:p w14:paraId="30450637" w14:textId="77777777" w:rsidR="002B51DD" w:rsidRPr="006B414D" w:rsidRDefault="002B51DD" w:rsidP="002B51DD">
            <w:pPr>
              <w:pStyle w:val="ListParagraph"/>
              <w:numPr>
                <w:ilvl w:val="0"/>
                <w:numId w:val="8"/>
              </w:numPr>
              <w:spacing w:before="0" w:after="0"/>
              <w:ind w:left="311" w:hanging="284"/>
              <w:rPr>
                <w:rFonts w:cs="Arial"/>
                <w:lang w:val="en-GB"/>
              </w:rPr>
            </w:pPr>
          </w:p>
        </w:tc>
        <w:tc>
          <w:tcPr>
            <w:tcW w:w="2542" w:type="pct"/>
          </w:tcPr>
          <w:p w14:paraId="630C4BA9" w14:textId="00B461FE" w:rsidR="002B51DD" w:rsidRPr="006B414D" w:rsidRDefault="002B51DD" w:rsidP="00777F55">
            <w:pPr>
              <w:ind w:left="25"/>
              <w:rPr>
                <w:rFonts w:cs="Arial"/>
                <w:lang w:val="en-GB"/>
              </w:rPr>
            </w:pPr>
            <w:r w:rsidRPr="006B414D">
              <w:rPr>
                <w:rFonts w:cs="Arial"/>
                <w:lang w:val="en-GB"/>
              </w:rPr>
              <w:t xml:space="preserve">Has the </w:t>
            </w:r>
            <w:r w:rsidRPr="006B414D">
              <w:rPr>
                <w:rFonts w:cs="Arial"/>
                <w:b/>
                <w:bCs/>
                <w:lang w:val="en-GB"/>
              </w:rPr>
              <w:t>total maximum amount</w:t>
            </w:r>
            <w:r w:rsidRPr="006B414D">
              <w:rPr>
                <w:rFonts w:cs="Arial"/>
                <w:lang w:val="en-GB"/>
              </w:rPr>
              <w:t xml:space="preserve"> linked to performance / FNLC been defined and reflected in the budget?</w:t>
            </w:r>
          </w:p>
        </w:tc>
        <w:tc>
          <w:tcPr>
            <w:tcW w:w="507" w:type="pct"/>
          </w:tcPr>
          <w:p w14:paraId="69BF90DF" w14:textId="77777777" w:rsidR="002B51DD" w:rsidRPr="006B414D" w:rsidRDefault="002B51DD" w:rsidP="00777F55">
            <w:pPr>
              <w:rPr>
                <w:rFonts w:cs="Arial"/>
                <w:lang w:val="en-GB"/>
              </w:rPr>
            </w:pPr>
          </w:p>
        </w:tc>
        <w:tc>
          <w:tcPr>
            <w:tcW w:w="1701" w:type="pct"/>
          </w:tcPr>
          <w:p w14:paraId="7525AC3A" w14:textId="77777777" w:rsidR="002B51DD" w:rsidRPr="006B414D" w:rsidRDefault="002B51DD" w:rsidP="00777F55">
            <w:pPr>
              <w:rPr>
                <w:rFonts w:cs="Arial"/>
                <w:lang w:val="en-GB"/>
              </w:rPr>
            </w:pPr>
            <w:r w:rsidRPr="006B414D">
              <w:rPr>
                <w:rFonts w:cs="Arial"/>
                <w:lang w:val="en-GB"/>
              </w:rPr>
              <w:t>The maximum FNLC amount of the budget is to be fixed</w:t>
            </w:r>
          </w:p>
        </w:tc>
      </w:tr>
      <w:tr w:rsidR="002B51DD" w:rsidRPr="006B414D" w14:paraId="413D9077" w14:textId="77777777" w:rsidTr="00777F55">
        <w:tc>
          <w:tcPr>
            <w:tcW w:w="250" w:type="pct"/>
          </w:tcPr>
          <w:p w14:paraId="45B26C13" w14:textId="77777777" w:rsidR="002B51DD" w:rsidRPr="006B414D" w:rsidRDefault="002B51DD" w:rsidP="002B51DD">
            <w:pPr>
              <w:pStyle w:val="ListParagraph"/>
              <w:numPr>
                <w:ilvl w:val="0"/>
                <w:numId w:val="8"/>
              </w:numPr>
              <w:spacing w:before="0" w:after="0"/>
              <w:ind w:left="284" w:hanging="284"/>
              <w:rPr>
                <w:rFonts w:cs="Arial"/>
                <w:lang w:val="en-GB"/>
              </w:rPr>
            </w:pPr>
          </w:p>
        </w:tc>
        <w:tc>
          <w:tcPr>
            <w:tcW w:w="2542" w:type="pct"/>
          </w:tcPr>
          <w:p w14:paraId="68E8F2DC" w14:textId="100B091B" w:rsidR="002B51DD" w:rsidRPr="006B414D" w:rsidRDefault="002B51DD" w:rsidP="00777F55">
            <w:pPr>
              <w:rPr>
                <w:rFonts w:cs="Arial"/>
                <w:lang w:val="en-GB"/>
              </w:rPr>
            </w:pPr>
            <w:r w:rsidRPr="006B414D">
              <w:rPr>
                <w:rFonts w:cs="Arial"/>
                <w:lang w:val="en-GB"/>
              </w:rPr>
              <w:t xml:space="preserve">Has the </w:t>
            </w:r>
            <w:r w:rsidRPr="006B414D">
              <w:rPr>
                <w:rFonts w:cs="Arial"/>
                <w:b/>
                <w:bCs/>
                <w:lang w:val="en-GB"/>
              </w:rPr>
              <w:t>amount</w:t>
            </w:r>
            <w:r w:rsidRPr="006B414D">
              <w:rPr>
                <w:rFonts w:cs="Arial"/>
                <w:lang w:val="en-GB"/>
              </w:rPr>
              <w:t xml:space="preserve"> to be paid for the achievement </w:t>
            </w:r>
            <w:r w:rsidRPr="006B414D">
              <w:rPr>
                <w:rFonts w:cs="Arial"/>
                <w:b/>
                <w:bCs/>
                <w:lang w:val="en-GB"/>
              </w:rPr>
              <w:t xml:space="preserve">of each </w:t>
            </w:r>
            <w:r w:rsidRPr="006B414D">
              <w:rPr>
                <w:rFonts w:cs="Arial"/>
                <w:lang w:val="en-GB"/>
              </w:rPr>
              <w:t xml:space="preserve">result delivered/achieved been </w:t>
            </w:r>
            <w:r w:rsidRPr="006B414D">
              <w:rPr>
                <w:rFonts w:cs="Arial"/>
                <w:b/>
                <w:bCs/>
                <w:lang w:val="en-GB"/>
              </w:rPr>
              <w:t>discussed and mutually agreed</w:t>
            </w:r>
            <w:r w:rsidRPr="006B414D">
              <w:rPr>
                <w:rFonts w:cs="Arial"/>
                <w:lang w:val="en-GB"/>
              </w:rPr>
              <w:t xml:space="preserve"> by </w:t>
            </w:r>
            <w:r w:rsidR="005054DB" w:rsidRPr="006B414D">
              <w:rPr>
                <w:rFonts w:cs="Arial"/>
                <w:lang w:val="en-GB"/>
              </w:rPr>
              <w:t>the beneficiary with the relevant stakeholders</w:t>
            </w:r>
            <w:r w:rsidRPr="006B414D">
              <w:rPr>
                <w:rFonts w:cs="Arial"/>
                <w:lang w:val="en-GB"/>
              </w:rPr>
              <w:t>?</w:t>
            </w:r>
          </w:p>
        </w:tc>
        <w:tc>
          <w:tcPr>
            <w:tcW w:w="507" w:type="pct"/>
          </w:tcPr>
          <w:p w14:paraId="4BB9D995" w14:textId="77777777" w:rsidR="002B51DD" w:rsidRPr="006B414D" w:rsidRDefault="002B51DD" w:rsidP="00777F55">
            <w:pPr>
              <w:rPr>
                <w:rFonts w:cs="Arial"/>
                <w:lang w:val="en-GB"/>
              </w:rPr>
            </w:pPr>
          </w:p>
        </w:tc>
        <w:tc>
          <w:tcPr>
            <w:tcW w:w="1701" w:type="pct"/>
          </w:tcPr>
          <w:p w14:paraId="33DD060B" w14:textId="4B012526" w:rsidR="002B51DD" w:rsidRPr="006B414D" w:rsidRDefault="002B51DD" w:rsidP="00777F55">
            <w:pPr>
              <w:rPr>
                <w:rFonts w:cs="Arial"/>
                <w:lang w:val="en-GB"/>
              </w:rPr>
            </w:pPr>
            <w:r w:rsidRPr="006B414D">
              <w:rPr>
                <w:rFonts w:cs="Arial"/>
                <w:lang w:val="en-GB"/>
              </w:rPr>
              <w:t>Please make sure the expectations on the expenses/risks covered by the unit of measure are agreed. To each FNLC result should correspond an amount (heading in the budget).</w:t>
            </w:r>
          </w:p>
        </w:tc>
      </w:tr>
      <w:tr w:rsidR="002B51DD" w:rsidRPr="006B414D" w14:paraId="1E4302B1" w14:textId="77777777" w:rsidTr="00777F55">
        <w:tc>
          <w:tcPr>
            <w:tcW w:w="250" w:type="pct"/>
          </w:tcPr>
          <w:p w14:paraId="71DBEF1B" w14:textId="77777777" w:rsidR="002B51DD" w:rsidRPr="006B414D" w:rsidRDefault="002B51DD" w:rsidP="002B51DD">
            <w:pPr>
              <w:pStyle w:val="ListParagraph"/>
              <w:numPr>
                <w:ilvl w:val="0"/>
                <w:numId w:val="8"/>
              </w:numPr>
              <w:spacing w:before="0" w:after="0"/>
              <w:ind w:left="284" w:hanging="284"/>
              <w:rPr>
                <w:rFonts w:cs="Arial"/>
                <w:lang w:val="en-GB"/>
              </w:rPr>
            </w:pPr>
          </w:p>
        </w:tc>
        <w:tc>
          <w:tcPr>
            <w:tcW w:w="2542" w:type="pct"/>
          </w:tcPr>
          <w:p w14:paraId="1D70E2C2" w14:textId="414F3960" w:rsidR="002B51DD" w:rsidRPr="006B414D" w:rsidRDefault="002B51DD" w:rsidP="00777F55">
            <w:pPr>
              <w:rPr>
                <w:rFonts w:cs="Arial"/>
                <w:lang w:val="en-GB"/>
              </w:rPr>
            </w:pPr>
            <w:r w:rsidRPr="006B414D">
              <w:rPr>
                <w:rFonts w:cs="Arial"/>
                <w:lang w:val="en-GB"/>
              </w:rPr>
              <w:t xml:space="preserve">Do the </w:t>
            </w:r>
            <w:r w:rsidR="00AC1F8E" w:rsidRPr="006B414D">
              <w:rPr>
                <w:rFonts w:cs="Arial"/>
                <w:lang w:val="en-GB"/>
              </w:rPr>
              <w:t>beneficiary</w:t>
            </w:r>
            <w:r w:rsidRPr="006B414D">
              <w:rPr>
                <w:rFonts w:cs="Arial"/>
                <w:lang w:val="en-GB"/>
              </w:rPr>
              <w:t xml:space="preserve"> understand that </w:t>
            </w:r>
            <w:r w:rsidRPr="006B414D">
              <w:rPr>
                <w:rFonts w:cs="Arial"/>
                <w:b/>
                <w:bCs/>
                <w:lang w:val="en-GB"/>
              </w:rPr>
              <w:t>the FNLC amount should integrate potential risks</w:t>
            </w:r>
            <w:r w:rsidRPr="006B414D">
              <w:rPr>
                <w:rFonts w:cs="Arial"/>
                <w:lang w:val="en-GB"/>
              </w:rPr>
              <w:t>, including (non-exhaustive list) the risk of partial or non-achievement, the risk of increase of inputs prices, the risks of currency fluctuation, etc.?</w:t>
            </w:r>
          </w:p>
        </w:tc>
        <w:tc>
          <w:tcPr>
            <w:tcW w:w="507" w:type="pct"/>
          </w:tcPr>
          <w:p w14:paraId="0EB80160" w14:textId="77777777" w:rsidR="002B51DD" w:rsidRPr="006B414D" w:rsidRDefault="002B51DD" w:rsidP="00777F55">
            <w:pPr>
              <w:rPr>
                <w:rFonts w:cs="Arial"/>
                <w:lang w:val="en-GB"/>
              </w:rPr>
            </w:pPr>
          </w:p>
        </w:tc>
        <w:tc>
          <w:tcPr>
            <w:tcW w:w="1701" w:type="pct"/>
          </w:tcPr>
          <w:p w14:paraId="44196BA2" w14:textId="77777777" w:rsidR="002B51DD" w:rsidRPr="006B414D" w:rsidRDefault="002B51DD" w:rsidP="00777F55">
            <w:pPr>
              <w:rPr>
                <w:rFonts w:cs="Arial"/>
                <w:lang w:val="en-GB"/>
              </w:rPr>
            </w:pPr>
            <w:r w:rsidRPr="006B414D">
              <w:rPr>
                <w:rFonts w:cs="Arial"/>
                <w:lang w:val="en-GB"/>
              </w:rPr>
              <w:t>Please make sure the expectations on the expenses/risks covered by the unit of measure are agreed among the parties</w:t>
            </w:r>
          </w:p>
        </w:tc>
      </w:tr>
      <w:tr w:rsidR="002B51DD" w:rsidRPr="006B414D" w14:paraId="20711C21" w14:textId="77777777" w:rsidTr="00777F55">
        <w:tc>
          <w:tcPr>
            <w:tcW w:w="250" w:type="pct"/>
          </w:tcPr>
          <w:p w14:paraId="0BCAF5CE" w14:textId="77777777" w:rsidR="002B51DD" w:rsidRPr="006B414D" w:rsidRDefault="002B51DD" w:rsidP="002B51DD">
            <w:pPr>
              <w:pStyle w:val="ListParagraph"/>
              <w:numPr>
                <w:ilvl w:val="0"/>
                <w:numId w:val="8"/>
              </w:numPr>
              <w:spacing w:before="0" w:after="0"/>
              <w:ind w:left="284" w:hanging="284"/>
              <w:rPr>
                <w:rFonts w:cs="Arial"/>
                <w:lang w:val="en-GB"/>
              </w:rPr>
            </w:pPr>
          </w:p>
        </w:tc>
        <w:tc>
          <w:tcPr>
            <w:tcW w:w="2542" w:type="pct"/>
          </w:tcPr>
          <w:p w14:paraId="0444877A" w14:textId="03ECCD54" w:rsidR="002B51DD" w:rsidRPr="006B414D" w:rsidRDefault="002B51DD" w:rsidP="00777F55">
            <w:pPr>
              <w:rPr>
                <w:rFonts w:cs="Arial"/>
                <w:lang w:val="en-GB"/>
              </w:rPr>
            </w:pPr>
            <w:r w:rsidRPr="006B414D">
              <w:rPr>
                <w:rFonts w:cs="Arial"/>
                <w:lang w:val="en-GB"/>
              </w:rPr>
              <w:t xml:space="preserve">Do the budget headings (and sub-headings) in the FNLC section of the budget mirror the FNLC results and </w:t>
            </w:r>
            <w:r w:rsidRPr="006B414D">
              <w:rPr>
                <w:rFonts w:cs="Arial"/>
                <w:b/>
                <w:bCs/>
                <w:lang w:val="en-GB"/>
              </w:rPr>
              <w:t xml:space="preserve">“contractable” </w:t>
            </w:r>
            <w:r w:rsidR="00AC1F8E" w:rsidRPr="006B414D">
              <w:rPr>
                <w:rFonts w:cs="Arial"/>
                <w:b/>
                <w:bCs/>
                <w:lang w:val="en-GB"/>
              </w:rPr>
              <w:t xml:space="preserve">performance </w:t>
            </w:r>
            <w:r w:rsidRPr="006B414D">
              <w:rPr>
                <w:rFonts w:cs="Arial"/>
                <w:b/>
                <w:bCs/>
                <w:lang w:val="en-GB"/>
              </w:rPr>
              <w:t>indicators</w:t>
            </w:r>
            <w:r w:rsidRPr="006B414D">
              <w:rPr>
                <w:rFonts w:cs="Arial"/>
                <w:lang w:val="en-GB"/>
              </w:rPr>
              <w:t xml:space="preserve"> included in the </w:t>
            </w:r>
            <w:proofErr w:type="spellStart"/>
            <w:r w:rsidRPr="006B414D">
              <w:rPr>
                <w:rFonts w:cs="Arial"/>
                <w:lang w:val="en-GB"/>
              </w:rPr>
              <w:t>logframe</w:t>
            </w:r>
            <w:proofErr w:type="spellEnd"/>
            <w:r w:rsidRPr="006B414D">
              <w:rPr>
                <w:rFonts w:cs="Arial"/>
                <w:lang w:val="en-GB"/>
              </w:rPr>
              <w:t>?</w:t>
            </w:r>
          </w:p>
        </w:tc>
        <w:tc>
          <w:tcPr>
            <w:tcW w:w="507" w:type="pct"/>
          </w:tcPr>
          <w:p w14:paraId="540E0A2B" w14:textId="77777777" w:rsidR="002B51DD" w:rsidRPr="006B414D" w:rsidRDefault="002B51DD" w:rsidP="00777F55">
            <w:pPr>
              <w:rPr>
                <w:rFonts w:cs="Arial"/>
                <w:lang w:val="en-GB"/>
              </w:rPr>
            </w:pPr>
          </w:p>
        </w:tc>
        <w:tc>
          <w:tcPr>
            <w:tcW w:w="1701" w:type="pct"/>
          </w:tcPr>
          <w:p w14:paraId="39A8EBF6" w14:textId="3794DBFE" w:rsidR="002B51DD" w:rsidRPr="006B414D" w:rsidRDefault="002B51DD" w:rsidP="00777F55">
            <w:pPr>
              <w:rPr>
                <w:rFonts w:cs="Arial"/>
                <w:lang w:val="en-GB"/>
              </w:rPr>
            </w:pPr>
            <w:r w:rsidRPr="006B414D">
              <w:rPr>
                <w:rFonts w:cs="Arial"/>
                <w:u w:val="single"/>
                <w:lang w:val="en-GB"/>
              </w:rPr>
              <w:t>If not</w:t>
            </w:r>
            <w:r w:rsidRPr="006B414D">
              <w:rPr>
                <w:rFonts w:cs="Arial"/>
                <w:lang w:val="en-GB"/>
              </w:rPr>
              <w:t xml:space="preserve">, please make sure the “contractable” indicators (and related results they intend to measure) are the same as per </w:t>
            </w:r>
            <w:proofErr w:type="spellStart"/>
            <w:r w:rsidRPr="006B414D">
              <w:rPr>
                <w:rFonts w:cs="Arial"/>
                <w:lang w:val="en-GB"/>
              </w:rPr>
              <w:t>Logframe</w:t>
            </w:r>
            <w:proofErr w:type="spellEnd"/>
            <w:r w:rsidRPr="006B414D">
              <w:rPr>
                <w:rFonts w:cs="Arial"/>
                <w:lang w:val="en-GB"/>
              </w:rPr>
              <w:t>/</w:t>
            </w:r>
            <w:r w:rsidR="00AC1F8E" w:rsidRPr="006B414D">
              <w:rPr>
                <w:rFonts w:cs="Arial"/>
                <w:lang w:val="en-GB"/>
              </w:rPr>
              <w:t>application</w:t>
            </w:r>
            <w:r w:rsidRPr="006B414D">
              <w:rPr>
                <w:rFonts w:cs="Arial"/>
                <w:lang w:val="en-GB"/>
              </w:rPr>
              <w:t>. Results per se cannot be budgeted without having at least one indicator per result budgeted</w:t>
            </w:r>
          </w:p>
        </w:tc>
      </w:tr>
      <w:tr w:rsidR="002B51DD" w:rsidRPr="006B414D" w14:paraId="56F3F58D" w14:textId="77777777" w:rsidTr="00777F55">
        <w:tc>
          <w:tcPr>
            <w:tcW w:w="250" w:type="pct"/>
          </w:tcPr>
          <w:p w14:paraId="2E50D6B6" w14:textId="77777777" w:rsidR="002B51DD" w:rsidRPr="006B414D" w:rsidRDefault="002B51DD" w:rsidP="002B51DD">
            <w:pPr>
              <w:pStyle w:val="ListParagraph"/>
              <w:numPr>
                <w:ilvl w:val="0"/>
                <w:numId w:val="8"/>
              </w:numPr>
              <w:spacing w:before="0" w:after="0"/>
              <w:ind w:left="284" w:hanging="284"/>
              <w:rPr>
                <w:rFonts w:cs="Arial"/>
                <w:lang w:val="en-GB"/>
              </w:rPr>
            </w:pPr>
          </w:p>
        </w:tc>
        <w:tc>
          <w:tcPr>
            <w:tcW w:w="2542" w:type="pct"/>
          </w:tcPr>
          <w:p w14:paraId="6E49CAD9" w14:textId="77777777" w:rsidR="002B51DD" w:rsidRPr="006B414D" w:rsidRDefault="002B51DD" w:rsidP="00777F55">
            <w:pPr>
              <w:rPr>
                <w:rFonts w:cs="Arial"/>
                <w:lang w:val="en-GB"/>
              </w:rPr>
            </w:pPr>
            <w:r w:rsidRPr="006B414D">
              <w:rPr>
                <w:rFonts w:cs="Arial"/>
                <w:lang w:val="en-GB"/>
              </w:rPr>
              <w:t xml:space="preserve">In case of hybrid budgets, are </w:t>
            </w:r>
            <w:r w:rsidRPr="006B414D">
              <w:rPr>
                <w:rFonts w:cs="Arial"/>
                <w:b/>
                <w:bCs/>
                <w:lang w:val="en-GB"/>
              </w:rPr>
              <w:t>indirect costs</w:t>
            </w:r>
            <w:r w:rsidRPr="006B414D">
              <w:rPr>
                <w:rFonts w:cs="Arial"/>
                <w:lang w:val="en-GB"/>
              </w:rPr>
              <w:t xml:space="preserve"> being calculated only on direct eligible costs of the budget?</w:t>
            </w:r>
          </w:p>
        </w:tc>
        <w:tc>
          <w:tcPr>
            <w:tcW w:w="507" w:type="pct"/>
          </w:tcPr>
          <w:p w14:paraId="1FF7D2A8" w14:textId="77777777" w:rsidR="002B51DD" w:rsidRPr="006B414D" w:rsidRDefault="002B51DD" w:rsidP="00777F55">
            <w:pPr>
              <w:rPr>
                <w:rFonts w:cs="Arial"/>
                <w:lang w:val="en-GB"/>
              </w:rPr>
            </w:pPr>
          </w:p>
        </w:tc>
        <w:tc>
          <w:tcPr>
            <w:tcW w:w="1701" w:type="pct"/>
          </w:tcPr>
          <w:p w14:paraId="01593932" w14:textId="77777777" w:rsidR="002B51DD" w:rsidRPr="006B414D" w:rsidRDefault="002B51DD" w:rsidP="00777F55">
            <w:pPr>
              <w:rPr>
                <w:rFonts w:cs="Arial"/>
                <w:lang w:val="en-GB"/>
              </w:rPr>
            </w:pPr>
            <w:r w:rsidRPr="006B414D">
              <w:rPr>
                <w:rFonts w:cs="Arial"/>
                <w:u w:val="single"/>
                <w:lang w:val="en-GB"/>
              </w:rPr>
              <w:t>If not</w:t>
            </w:r>
            <w:r w:rsidRPr="006B414D">
              <w:rPr>
                <w:rFonts w:cs="Arial"/>
                <w:lang w:val="en-GB"/>
              </w:rPr>
              <w:t>, please make sure indirect costs are calculated on the eligible costs and not on the FNLC component of the budget</w:t>
            </w:r>
          </w:p>
        </w:tc>
      </w:tr>
    </w:tbl>
    <w:p w14:paraId="30C731BF" w14:textId="77777777" w:rsidR="00A62323" w:rsidRDefault="00A62323" w:rsidP="00265423"/>
    <w:p w14:paraId="55D90C48" w14:textId="77777777" w:rsidR="00A62323" w:rsidRDefault="00A62323" w:rsidP="00265423">
      <w:pPr>
        <w:sectPr w:rsidR="00A62323" w:rsidSect="00AA6CC9">
          <w:footerReference w:type="default" r:id="rId18"/>
          <w:pgSz w:w="16838" w:h="11906" w:orient="landscape"/>
          <w:pgMar w:top="1440" w:right="1440" w:bottom="1440" w:left="1440" w:header="708" w:footer="708" w:gutter="0"/>
          <w:cols w:space="708"/>
          <w:docGrid w:linePitch="360"/>
        </w:sectPr>
      </w:pPr>
    </w:p>
    <w:p w14:paraId="0D318278" w14:textId="2D04419B" w:rsidR="00774F10" w:rsidRDefault="00774F10" w:rsidP="00774F10">
      <w:pPr>
        <w:pStyle w:val="Heading1"/>
      </w:pPr>
      <w:r>
        <w:lastRenderedPageBreak/>
        <w:t>Annex e3b</w:t>
      </w:r>
      <w:r w:rsidR="00994D25">
        <w:t xml:space="preserve"> </w:t>
      </w:r>
      <w:r w:rsidR="000A7F89">
        <w:t>–</w:t>
      </w:r>
      <w:r w:rsidR="00994D25">
        <w:t xml:space="preserve"> Application</w:t>
      </w:r>
      <w:r w:rsidR="000A7F89">
        <w:t xml:space="preserve"> </w:t>
      </w:r>
      <w:proofErr w:type="gramStart"/>
      <w:r w:rsidR="000A7F89">
        <w:t>form</w:t>
      </w:r>
      <w:proofErr w:type="gramEnd"/>
    </w:p>
    <w:p w14:paraId="04214B08" w14:textId="77777777" w:rsidR="00AE4FA0" w:rsidRDefault="00AE4FA0"/>
    <w:p w14:paraId="02010BA7" w14:textId="1755B0B3" w:rsidR="00774F10" w:rsidRDefault="00774F10">
      <w:r>
        <w:t xml:space="preserve">The instructions to complete </w:t>
      </w:r>
      <w:r w:rsidR="008B4091">
        <w:t xml:space="preserve">Section </w:t>
      </w:r>
      <w:r>
        <w:t xml:space="preserve">2.1.1 </w:t>
      </w:r>
      <w:r w:rsidR="00B81322">
        <w:t xml:space="preserve">of the application </w:t>
      </w:r>
      <w:r w:rsidR="000A7F89">
        <w:t xml:space="preserve">form </w:t>
      </w:r>
      <w:r w:rsidR="00B81322">
        <w:t>(Annex e3b) requires</w:t>
      </w:r>
      <w:r>
        <w:t xml:space="preserve"> </w:t>
      </w:r>
      <w:r w:rsidR="0067271B">
        <w:t>providing</w:t>
      </w:r>
      <w:r>
        <w:t xml:space="preserve"> specific information </w:t>
      </w:r>
      <w:r w:rsidR="00265423">
        <w:t xml:space="preserve">on FNLC that are interlinked with the </w:t>
      </w:r>
      <w:proofErr w:type="spellStart"/>
      <w:r w:rsidR="00265423">
        <w:t>Logframe</w:t>
      </w:r>
      <w:proofErr w:type="spellEnd"/>
      <w:r w:rsidR="00265423">
        <w:t xml:space="preserve"> (Annex e3d) and the Budget (Annex e3c).</w:t>
      </w:r>
    </w:p>
    <w:p w14:paraId="37E199AD" w14:textId="41374BD2" w:rsidR="00313E5A" w:rsidRDefault="00313E5A" w:rsidP="00313E5A">
      <w:pPr>
        <w:tabs>
          <w:tab w:val="left" w:pos="426"/>
        </w:tabs>
        <w:spacing w:before="120" w:after="0" w:line="240" w:lineRule="auto"/>
      </w:pPr>
      <w:r w:rsidRPr="00D74950">
        <w:rPr>
          <w:u w:val="single"/>
        </w:rPr>
        <w:t xml:space="preserve">Without prejudice </w:t>
      </w:r>
      <w:r w:rsidR="00166557">
        <w:rPr>
          <w:u w:val="single"/>
        </w:rPr>
        <w:t>to</w:t>
      </w:r>
      <w:r w:rsidRPr="00D74950">
        <w:rPr>
          <w:u w:val="single"/>
        </w:rPr>
        <w:t xml:space="preserve"> all other instructions provided to fill in the application </w:t>
      </w:r>
      <w:r w:rsidR="00166557">
        <w:rPr>
          <w:u w:val="single"/>
        </w:rPr>
        <w:t xml:space="preserve">form </w:t>
      </w:r>
      <w:r w:rsidRPr="00D74950">
        <w:rPr>
          <w:u w:val="single"/>
        </w:rPr>
        <w:t>and</w:t>
      </w:r>
      <w:r w:rsidR="00166557">
        <w:rPr>
          <w:u w:val="single"/>
        </w:rPr>
        <w:t>, in particular,</w:t>
      </w:r>
      <w:r w:rsidRPr="00D74950">
        <w:rPr>
          <w:u w:val="single"/>
        </w:rPr>
        <w:t xml:space="preserve"> its description of the action</w:t>
      </w:r>
      <w:r>
        <w:t xml:space="preserve">, </w:t>
      </w:r>
      <w:r w:rsidR="008B4091">
        <w:t>S</w:t>
      </w:r>
      <w:r>
        <w:t xml:space="preserve">ection 2.1.1 requires </w:t>
      </w:r>
      <w:proofErr w:type="gramStart"/>
      <w:r>
        <w:t>to describe</w:t>
      </w:r>
      <w:proofErr w:type="gramEnd"/>
      <w:r>
        <w:t xml:space="preserve"> the intervention logic, but also to fill in one table per result level (outputs and outcomes)</w:t>
      </w:r>
      <w:r w:rsidR="00B96764">
        <w:t xml:space="preserve">. Such tables </w:t>
      </w:r>
      <w:proofErr w:type="gramStart"/>
      <w:r w:rsidR="00B96764">
        <w:t>includes</w:t>
      </w:r>
      <w:proofErr w:type="gramEnd"/>
      <w:r w:rsidR="00B96764">
        <w:t xml:space="preserve"> specific</w:t>
      </w:r>
      <w:r>
        <w:t xml:space="preserve"> relevant information in case of use of FNLC. </w:t>
      </w:r>
    </w:p>
    <w:p w14:paraId="627F4A61" w14:textId="0A8ACBE1" w:rsidR="00265423" w:rsidRDefault="00F978DF">
      <w:r>
        <w:t>Relevant</w:t>
      </w:r>
      <w:r w:rsidR="00F16216">
        <w:t xml:space="preserve"> instructions for </w:t>
      </w:r>
      <w:r w:rsidR="008B4091">
        <w:t xml:space="preserve">Section </w:t>
      </w:r>
      <w:r w:rsidR="00265423">
        <w:t xml:space="preserve">2.1.1 </w:t>
      </w:r>
      <w:r w:rsidR="00313E5A">
        <w:t xml:space="preserve">related to outputs and outcomes </w:t>
      </w:r>
      <w:r w:rsidR="007E4953">
        <w:t>include</w:t>
      </w:r>
      <w:r w:rsidR="00265423">
        <w:t>:</w:t>
      </w:r>
    </w:p>
    <w:p w14:paraId="5E55D163" w14:textId="09BC2ABE" w:rsidR="00265423" w:rsidRPr="002217C7" w:rsidRDefault="00265423" w:rsidP="00265423">
      <w:pPr>
        <w:tabs>
          <w:tab w:val="left" w:pos="426"/>
        </w:tabs>
        <w:spacing w:before="120"/>
      </w:pPr>
      <w:r w:rsidRPr="002217C7">
        <w:t>Where the guidelines authorise the submission of applications for a contribution in the form of financing not linked to costs, please provide full attention to the following elements:</w:t>
      </w:r>
    </w:p>
    <w:p w14:paraId="1D4EA366" w14:textId="77777777" w:rsidR="00265423" w:rsidRPr="002217C7" w:rsidRDefault="00265423" w:rsidP="00265423">
      <w:pPr>
        <w:numPr>
          <w:ilvl w:val="0"/>
          <w:numId w:val="3"/>
        </w:numPr>
        <w:tabs>
          <w:tab w:val="left" w:pos="426"/>
        </w:tabs>
        <w:spacing w:before="120" w:after="0" w:line="240" w:lineRule="auto"/>
        <w:rPr>
          <w:rStyle w:val="cf01"/>
          <w:rFonts w:cs="Times New Roman"/>
        </w:rPr>
      </w:pPr>
      <w:r w:rsidRPr="002217C7">
        <w:rPr>
          <w:rFonts w:cs="Times New Roman"/>
        </w:rPr>
        <w:t xml:space="preserve">The description of the action (narrative), the Logical Framework Matrix (as per template), and any supporting document identified as source of data will be the basis for the validation/assessment of the results achieved during </w:t>
      </w:r>
      <w:proofErr w:type="gramStart"/>
      <w:r w:rsidRPr="002217C7">
        <w:t>implementation</w:t>
      </w:r>
      <w:r w:rsidRPr="002217C7">
        <w:rPr>
          <w:rStyle w:val="cf01"/>
        </w:rPr>
        <w:t>;</w:t>
      </w:r>
      <w:proofErr w:type="gramEnd"/>
    </w:p>
    <w:p w14:paraId="6CDF5120" w14:textId="12C07C40" w:rsidR="00265423" w:rsidRPr="002217C7" w:rsidRDefault="00265423" w:rsidP="00265423">
      <w:pPr>
        <w:numPr>
          <w:ilvl w:val="0"/>
          <w:numId w:val="3"/>
        </w:numPr>
        <w:tabs>
          <w:tab w:val="left" w:pos="426"/>
        </w:tabs>
        <w:spacing w:before="120" w:after="0" w:line="240" w:lineRule="auto"/>
      </w:pPr>
      <w:r w:rsidRPr="002217C7">
        <w:t>Please clearly indicate which outputs</w:t>
      </w:r>
      <w:r w:rsidR="00DD5C27" w:rsidRPr="002217C7">
        <w:t>/outcomes</w:t>
      </w:r>
      <w:r w:rsidRPr="002217C7">
        <w:t xml:space="preserve"> and which indicators are to be forming part of the Budget (Annex e3</w:t>
      </w:r>
      <w:r w:rsidR="00CA4BA8" w:rsidRPr="002217C7">
        <w:t>c</w:t>
      </w:r>
      <w:r w:rsidRPr="002217C7">
        <w:t xml:space="preserve">) and which ones are exclusively meant for monitoring, reporting and evaluation </w:t>
      </w:r>
      <w:proofErr w:type="gramStart"/>
      <w:r w:rsidRPr="002217C7">
        <w:t>purposes;</w:t>
      </w:r>
      <w:proofErr w:type="gramEnd"/>
      <w:r w:rsidRPr="002217C7">
        <w:t xml:space="preserve"> </w:t>
      </w:r>
    </w:p>
    <w:p w14:paraId="4E3826FE" w14:textId="55561E41" w:rsidR="00265423" w:rsidRPr="002217C7" w:rsidRDefault="00265423" w:rsidP="00265423">
      <w:pPr>
        <w:numPr>
          <w:ilvl w:val="0"/>
          <w:numId w:val="3"/>
        </w:numPr>
        <w:tabs>
          <w:tab w:val="left" w:pos="426"/>
        </w:tabs>
        <w:spacing w:before="120" w:after="0" w:line="240" w:lineRule="auto"/>
      </w:pPr>
      <w:r w:rsidRPr="002217C7">
        <w:t>Include reference of any necessary supporting documents (technical specifications, agreed standards, etc.) that will be used for the validation / assessment of the achievement of the outputs measured by reference to the performance indicators</w:t>
      </w:r>
      <w:r w:rsidR="00666584">
        <w:t xml:space="preserve"> – if needed</w:t>
      </w:r>
      <w:r w:rsidR="00005232">
        <w:t xml:space="preserve"> (because of complexity and </w:t>
      </w:r>
      <w:r w:rsidR="003A28D6">
        <w:t>length)</w:t>
      </w:r>
      <w:r w:rsidR="00666584">
        <w:t xml:space="preserve"> it is possible to add </w:t>
      </w:r>
      <w:r w:rsidR="00005232">
        <w:t xml:space="preserve">such specification in Appendix to the </w:t>
      </w:r>
      <w:proofErr w:type="gramStart"/>
      <w:r w:rsidR="00005232">
        <w:t>application</w:t>
      </w:r>
      <w:r w:rsidRPr="002217C7">
        <w:t>;</w:t>
      </w:r>
      <w:proofErr w:type="gramEnd"/>
    </w:p>
    <w:p w14:paraId="5B3CCD8A" w14:textId="3D7FCDF1" w:rsidR="00265423" w:rsidRPr="002217C7" w:rsidRDefault="00265423" w:rsidP="00265423">
      <w:pPr>
        <w:numPr>
          <w:ilvl w:val="0"/>
          <w:numId w:val="3"/>
        </w:numPr>
        <w:tabs>
          <w:tab w:val="left" w:pos="426"/>
        </w:tabs>
        <w:spacing w:before="120" w:after="0" w:line="240" w:lineRule="auto"/>
      </w:pPr>
      <w:r w:rsidRPr="002217C7">
        <w:t>Specify in detail the data source for each indicator as to allow the validation / assessment of the achievement of the outputs</w:t>
      </w:r>
      <w:r w:rsidR="00DD5C27" w:rsidRPr="002217C7">
        <w:t>/outcomes</w:t>
      </w:r>
      <w:r w:rsidRPr="002217C7">
        <w:t xml:space="preserve"> measured by reference to performance </w:t>
      </w:r>
      <w:proofErr w:type="gramStart"/>
      <w:r w:rsidRPr="002217C7">
        <w:t>indicators;</w:t>
      </w:r>
      <w:proofErr w:type="gramEnd"/>
    </w:p>
    <w:p w14:paraId="46A61D38" w14:textId="7D6B6E70" w:rsidR="00265423" w:rsidRPr="002217C7" w:rsidRDefault="00265423" w:rsidP="00265423">
      <w:pPr>
        <w:numPr>
          <w:ilvl w:val="0"/>
          <w:numId w:val="3"/>
        </w:numPr>
        <w:tabs>
          <w:tab w:val="left" w:pos="426"/>
        </w:tabs>
        <w:spacing w:before="120" w:after="0" w:line="240" w:lineRule="auto"/>
      </w:pPr>
      <w:r w:rsidRPr="002217C7">
        <w:t>Please also indicate for each performance indicator the means to assess partial achievement (if applicable).</w:t>
      </w:r>
    </w:p>
    <w:p w14:paraId="16CADC4B" w14:textId="77777777" w:rsidR="00265423" w:rsidRDefault="00265423" w:rsidP="00265423">
      <w:pPr>
        <w:tabs>
          <w:tab w:val="left" w:pos="426"/>
        </w:tabs>
        <w:spacing w:before="120" w:after="0" w:line="240" w:lineRule="auto"/>
      </w:pPr>
    </w:p>
    <w:p w14:paraId="2EDCB14D" w14:textId="6E085D3E" w:rsidR="00BE0971" w:rsidRDefault="00294C00" w:rsidP="00BC74FF">
      <w:pPr>
        <w:tabs>
          <w:tab w:val="left" w:pos="426"/>
        </w:tabs>
        <w:spacing w:before="120" w:after="0" w:line="240" w:lineRule="auto"/>
      </w:pPr>
      <w:r>
        <w:rPr>
          <w:u w:val="single"/>
        </w:rPr>
        <w:t xml:space="preserve">The example below </w:t>
      </w:r>
      <w:r w:rsidR="00607FCC">
        <w:rPr>
          <w:u w:val="single"/>
        </w:rPr>
        <w:t>reproduces</w:t>
      </w:r>
      <w:r w:rsidR="00BC74FF">
        <w:rPr>
          <w:u w:val="single"/>
        </w:rPr>
        <w:t xml:space="preserve"> the</w:t>
      </w:r>
      <w:r w:rsidR="00BE0971">
        <w:t xml:space="preserve"> table for the out</w:t>
      </w:r>
      <w:r w:rsidR="00836483">
        <w:t>puts</w:t>
      </w:r>
      <w:r w:rsidR="00BE0971">
        <w:t>, that could also include FNLC features</w:t>
      </w:r>
      <w:r w:rsidR="00BC74FF">
        <w:t>.</w:t>
      </w:r>
    </w:p>
    <w:p w14:paraId="21E11EAA" w14:textId="77777777" w:rsidR="00BC74FF" w:rsidRDefault="00BC74FF" w:rsidP="002217C7">
      <w:pPr>
        <w:pBdr>
          <w:top w:val="single" w:sz="4" w:space="1" w:color="auto"/>
          <w:left w:val="single" w:sz="4" w:space="4" w:color="auto"/>
          <w:bottom w:val="single" w:sz="4" w:space="1" w:color="auto"/>
          <w:right w:val="single" w:sz="4" w:space="1" w:color="auto"/>
        </w:pBdr>
      </w:pPr>
      <w:r>
        <w:t xml:space="preserve">Disclaimer: the examples provided are meant to show the consistency between the </w:t>
      </w:r>
      <w:proofErr w:type="spellStart"/>
      <w:r>
        <w:t>Logframe</w:t>
      </w:r>
      <w:proofErr w:type="spellEnd"/>
      <w:r>
        <w:t xml:space="preserve">, the budget, and the application form narrative section. They are </w:t>
      </w:r>
      <w:r w:rsidRPr="00CE2D8E">
        <w:rPr>
          <w:b/>
          <w:bCs/>
          <w:u w:val="single"/>
        </w:rPr>
        <w:t>fictitious</w:t>
      </w:r>
      <w:r>
        <w:t xml:space="preserve"> and </w:t>
      </w:r>
      <w:r w:rsidRPr="009B3217">
        <w:rPr>
          <w:b/>
          <w:bCs/>
          <w:u w:val="single"/>
        </w:rPr>
        <w:t>figures are made up</w:t>
      </w:r>
      <w:r>
        <w:t xml:space="preserve">. </w:t>
      </w:r>
    </w:p>
    <w:p w14:paraId="020541DE" w14:textId="77777777" w:rsidR="00F16216" w:rsidRDefault="00F16216" w:rsidP="00265423">
      <w:pPr>
        <w:tabs>
          <w:tab w:val="left" w:pos="426"/>
        </w:tabs>
        <w:spacing w:before="120" w:after="0" w:line="240" w:lineRule="auto"/>
      </w:pPr>
    </w:p>
    <w:tbl>
      <w:tblPr>
        <w:tblStyle w:val="TableGrid"/>
        <w:tblW w:w="0" w:type="auto"/>
        <w:tblLook w:val="04A0" w:firstRow="1" w:lastRow="0" w:firstColumn="1" w:lastColumn="0" w:noHBand="0" w:noVBand="1"/>
      </w:tblPr>
      <w:tblGrid>
        <w:gridCol w:w="2675"/>
        <w:gridCol w:w="6341"/>
      </w:tblGrid>
      <w:tr w:rsidR="00F16216" w:rsidRPr="00A04CA2" w14:paraId="2532C844" w14:textId="77777777" w:rsidTr="0042690D">
        <w:trPr>
          <w:tblHeader/>
        </w:trPr>
        <w:tc>
          <w:tcPr>
            <w:tcW w:w="9016" w:type="dxa"/>
            <w:gridSpan w:val="2"/>
          </w:tcPr>
          <w:p w14:paraId="629C6746" w14:textId="77777777" w:rsidR="00F16216" w:rsidRPr="00196451" w:rsidRDefault="00F16216" w:rsidP="000D564B">
            <w:pPr>
              <w:tabs>
                <w:tab w:val="left" w:pos="426"/>
              </w:tabs>
              <w:spacing w:before="100"/>
              <w:contextualSpacing/>
              <w:jc w:val="center"/>
              <w:rPr>
                <w:sz w:val="22"/>
                <w:szCs w:val="22"/>
                <w:highlight w:val="yellow"/>
              </w:rPr>
            </w:pPr>
            <w:r w:rsidRPr="00196451">
              <w:rPr>
                <w:b/>
                <w:bCs/>
                <w:sz w:val="22"/>
                <w:szCs w:val="22"/>
              </w:rPr>
              <w:t>OUTPUTS</w:t>
            </w:r>
          </w:p>
        </w:tc>
      </w:tr>
      <w:tr w:rsidR="00F16216" w:rsidRPr="00A04CA2" w:rsidDel="00E705CC" w14:paraId="44981D4D" w14:textId="77777777" w:rsidTr="0042690D">
        <w:tc>
          <w:tcPr>
            <w:tcW w:w="9016" w:type="dxa"/>
            <w:gridSpan w:val="2"/>
            <w:shd w:val="clear" w:color="auto" w:fill="auto"/>
          </w:tcPr>
          <w:p w14:paraId="28399865" w14:textId="62074BB7" w:rsidR="00F16216" w:rsidRPr="00196451" w:rsidDel="00E705CC" w:rsidRDefault="00F16216" w:rsidP="000D564B">
            <w:pPr>
              <w:tabs>
                <w:tab w:val="left" w:pos="426"/>
              </w:tabs>
              <w:spacing w:before="100"/>
              <w:contextualSpacing/>
              <w:rPr>
                <w:sz w:val="22"/>
                <w:szCs w:val="22"/>
                <w:highlight w:val="yellow"/>
              </w:rPr>
            </w:pPr>
            <w:r w:rsidRPr="00196451">
              <w:rPr>
                <w:b/>
                <w:bCs/>
                <w:sz w:val="22"/>
                <w:szCs w:val="22"/>
              </w:rPr>
              <w:t>Output 1.1</w:t>
            </w:r>
            <w:r w:rsidRPr="00196451">
              <w:rPr>
                <w:sz w:val="22"/>
                <w:szCs w:val="22"/>
              </w:rPr>
              <w:t>: Improved policy dialogue mechanisms</w:t>
            </w:r>
          </w:p>
        </w:tc>
      </w:tr>
      <w:tr w:rsidR="00F16216" w:rsidRPr="00A04CA2" w14:paraId="6BF51D57" w14:textId="77777777" w:rsidTr="0042690D">
        <w:tc>
          <w:tcPr>
            <w:tcW w:w="2675" w:type="dxa"/>
            <w:shd w:val="clear" w:color="auto" w:fill="auto"/>
          </w:tcPr>
          <w:p w14:paraId="1AA8FF2C" w14:textId="77777777" w:rsidR="00F16216" w:rsidRPr="00196451" w:rsidRDefault="00F16216" w:rsidP="000D564B">
            <w:pPr>
              <w:tabs>
                <w:tab w:val="left" w:pos="426"/>
              </w:tabs>
              <w:spacing w:before="100"/>
              <w:contextualSpacing/>
              <w:rPr>
                <w:sz w:val="22"/>
                <w:szCs w:val="22"/>
              </w:rPr>
            </w:pPr>
            <w:r w:rsidRPr="00196451">
              <w:rPr>
                <w:sz w:val="22"/>
                <w:szCs w:val="22"/>
                <w:u w:val="single"/>
              </w:rPr>
              <w:t>Indicator 1</w:t>
            </w:r>
            <w:r w:rsidRPr="00196451">
              <w:rPr>
                <w:sz w:val="22"/>
                <w:szCs w:val="22"/>
              </w:rPr>
              <w:t xml:space="preserve"> to output 1</w:t>
            </w:r>
          </w:p>
        </w:tc>
        <w:tc>
          <w:tcPr>
            <w:tcW w:w="6341" w:type="dxa"/>
          </w:tcPr>
          <w:p w14:paraId="43DF6366" w14:textId="28AB9842" w:rsidR="00F16216" w:rsidRPr="00196451" w:rsidRDefault="00F16216" w:rsidP="00F16216">
            <w:pPr>
              <w:pStyle w:val="ListParagraph"/>
              <w:spacing w:before="100"/>
              <w:ind w:left="0"/>
              <w:rPr>
                <w:sz w:val="22"/>
                <w:szCs w:val="22"/>
              </w:rPr>
            </w:pPr>
            <w:r w:rsidRPr="00196451">
              <w:rPr>
                <w:sz w:val="22"/>
                <w:szCs w:val="22"/>
              </w:rPr>
              <w:t>1.1.1 Number of conferences that agrees at least 3 policy related action points as part</w:t>
            </w:r>
            <w:r w:rsidR="003766FA">
              <w:rPr>
                <w:sz w:val="22"/>
                <w:szCs w:val="22"/>
              </w:rPr>
              <w:t xml:space="preserve"> </w:t>
            </w:r>
            <w:r w:rsidR="003766FA" w:rsidRPr="003766FA">
              <w:rPr>
                <w:sz w:val="22"/>
                <w:szCs w:val="22"/>
              </w:rPr>
              <w:t>of the conclusions</w:t>
            </w:r>
          </w:p>
        </w:tc>
      </w:tr>
      <w:tr w:rsidR="00F16216" w:rsidRPr="00A04CA2" w14:paraId="38E048A1" w14:textId="77777777" w:rsidTr="0042690D">
        <w:tc>
          <w:tcPr>
            <w:tcW w:w="2675" w:type="dxa"/>
            <w:shd w:val="clear" w:color="auto" w:fill="auto"/>
          </w:tcPr>
          <w:p w14:paraId="357371EA" w14:textId="77777777" w:rsidR="00F16216" w:rsidRPr="00196451" w:rsidRDefault="00F16216" w:rsidP="000D564B">
            <w:pPr>
              <w:tabs>
                <w:tab w:val="left" w:pos="426"/>
              </w:tabs>
              <w:spacing w:before="100"/>
              <w:contextualSpacing/>
              <w:rPr>
                <w:sz w:val="22"/>
                <w:szCs w:val="22"/>
              </w:rPr>
            </w:pPr>
            <w:r w:rsidRPr="00196451">
              <w:rPr>
                <w:sz w:val="22"/>
                <w:szCs w:val="22"/>
              </w:rPr>
              <w:t xml:space="preserve">Indicator 1 </w:t>
            </w:r>
            <w:r w:rsidRPr="00196451">
              <w:rPr>
                <w:sz w:val="22"/>
                <w:szCs w:val="22"/>
                <w:u w:val="single"/>
              </w:rPr>
              <w:t>target</w:t>
            </w:r>
            <w:r w:rsidRPr="00196451">
              <w:rPr>
                <w:sz w:val="22"/>
                <w:szCs w:val="22"/>
              </w:rPr>
              <w:t xml:space="preserve"> with </w:t>
            </w:r>
            <w:r w:rsidRPr="00196451">
              <w:rPr>
                <w:sz w:val="22"/>
                <w:szCs w:val="22"/>
                <w:u w:val="single"/>
              </w:rPr>
              <w:t>year</w:t>
            </w:r>
          </w:p>
        </w:tc>
        <w:tc>
          <w:tcPr>
            <w:tcW w:w="6341" w:type="dxa"/>
          </w:tcPr>
          <w:p w14:paraId="19A70E67" w14:textId="63D35EBD" w:rsidR="00F16216" w:rsidRPr="00196451" w:rsidRDefault="00F16216" w:rsidP="00F16216">
            <w:pPr>
              <w:pStyle w:val="ListParagraph"/>
              <w:spacing w:before="100"/>
              <w:ind w:left="0"/>
              <w:rPr>
                <w:sz w:val="22"/>
                <w:szCs w:val="22"/>
              </w:rPr>
            </w:pPr>
            <w:r w:rsidRPr="00196451">
              <w:rPr>
                <w:sz w:val="22"/>
                <w:szCs w:val="22"/>
              </w:rPr>
              <w:t>4 by 2027</w:t>
            </w:r>
          </w:p>
        </w:tc>
      </w:tr>
      <w:tr w:rsidR="00F16216" w:rsidRPr="00A04CA2" w14:paraId="745A0AA7" w14:textId="77777777" w:rsidTr="0042690D">
        <w:trPr>
          <w:trHeight w:val="589"/>
        </w:trPr>
        <w:tc>
          <w:tcPr>
            <w:tcW w:w="2675" w:type="dxa"/>
            <w:vMerge w:val="restart"/>
            <w:shd w:val="clear" w:color="auto" w:fill="auto"/>
          </w:tcPr>
          <w:p w14:paraId="0F4F1FB5" w14:textId="77777777" w:rsidR="00F16216" w:rsidRPr="00196451" w:rsidRDefault="00F16216" w:rsidP="000D564B">
            <w:pPr>
              <w:tabs>
                <w:tab w:val="left" w:pos="426"/>
              </w:tabs>
              <w:spacing w:before="100"/>
              <w:contextualSpacing/>
              <w:rPr>
                <w:sz w:val="22"/>
                <w:szCs w:val="22"/>
              </w:rPr>
            </w:pPr>
            <w:r w:rsidRPr="00196451">
              <w:rPr>
                <w:sz w:val="22"/>
                <w:szCs w:val="22"/>
              </w:rPr>
              <w:t>Sources of data for the values of the indicator</w:t>
            </w:r>
          </w:p>
        </w:tc>
        <w:tc>
          <w:tcPr>
            <w:tcW w:w="6341" w:type="dxa"/>
          </w:tcPr>
          <w:p w14:paraId="22A91AB2" w14:textId="77777777" w:rsidR="00B21FF7" w:rsidRPr="00196451" w:rsidRDefault="00B21FF7" w:rsidP="00B21FF7">
            <w:pPr>
              <w:pStyle w:val="ListParagraph"/>
              <w:spacing w:before="100"/>
              <w:ind w:left="0"/>
              <w:rPr>
                <w:sz w:val="22"/>
                <w:szCs w:val="22"/>
              </w:rPr>
            </w:pPr>
            <w:r w:rsidRPr="00196451">
              <w:rPr>
                <w:sz w:val="22"/>
                <w:szCs w:val="22"/>
              </w:rPr>
              <w:t>Minutes of conferences with recommendations, action points and conclusions.</w:t>
            </w:r>
          </w:p>
          <w:p w14:paraId="698026B6" w14:textId="51EE0544" w:rsidR="00F16216" w:rsidRPr="00196451" w:rsidRDefault="00B21FF7" w:rsidP="00B21FF7">
            <w:pPr>
              <w:pStyle w:val="ListParagraph"/>
              <w:spacing w:before="100"/>
              <w:ind w:left="0"/>
              <w:rPr>
                <w:sz w:val="22"/>
                <w:szCs w:val="22"/>
              </w:rPr>
            </w:pPr>
            <w:r w:rsidRPr="00196451">
              <w:rPr>
                <w:sz w:val="22"/>
                <w:szCs w:val="22"/>
              </w:rPr>
              <w:t>Action points signed and endorsed by Minist</w:t>
            </w:r>
            <w:r w:rsidR="003766FA">
              <w:rPr>
                <w:sz w:val="22"/>
                <w:szCs w:val="22"/>
              </w:rPr>
              <w:t>ry</w:t>
            </w:r>
            <w:r w:rsidRPr="00196451">
              <w:rPr>
                <w:sz w:val="22"/>
                <w:szCs w:val="22"/>
              </w:rPr>
              <w:t xml:space="preserve"> of Energy.</w:t>
            </w:r>
          </w:p>
        </w:tc>
      </w:tr>
      <w:tr w:rsidR="00F16216" w:rsidRPr="00A04CA2" w14:paraId="69F426EA" w14:textId="77777777" w:rsidTr="0042690D">
        <w:trPr>
          <w:trHeight w:val="588"/>
        </w:trPr>
        <w:tc>
          <w:tcPr>
            <w:tcW w:w="2675" w:type="dxa"/>
            <w:vMerge/>
          </w:tcPr>
          <w:p w14:paraId="3D579025" w14:textId="77777777" w:rsidR="00F16216" w:rsidRPr="00196451" w:rsidRDefault="00F16216" w:rsidP="000D564B">
            <w:pPr>
              <w:tabs>
                <w:tab w:val="left" w:pos="426"/>
              </w:tabs>
              <w:spacing w:before="100"/>
              <w:contextualSpacing/>
              <w:rPr>
                <w:sz w:val="22"/>
                <w:szCs w:val="22"/>
              </w:rPr>
            </w:pPr>
          </w:p>
        </w:tc>
        <w:tc>
          <w:tcPr>
            <w:tcW w:w="6341" w:type="dxa"/>
          </w:tcPr>
          <w:p w14:paraId="6341AF6F" w14:textId="334CD15A" w:rsidR="00F16216" w:rsidRPr="00A2244A" w:rsidRDefault="00F16216" w:rsidP="000D564B">
            <w:pPr>
              <w:pStyle w:val="ListParagraph"/>
              <w:spacing w:before="100"/>
              <w:ind w:left="0"/>
              <w:rPr>
                <w:sz w:val="22"/>
                <w:szCs w:val="22"/>
                <w:highlight w:val="yellow"/>
              </w:rPr>
            </w:pPr>
            <w:r w:rsidRPr="002217C7">
              <w:t xml:space="preserve">Technical specifications/standards </w:t>
            </w:r>
            <w:r w:rsidR="009B1DC0" w:rsidRPr="002217C7">
              <w:t xml:space="preserve">on what “policy related action points </w:t>
            </w:r>
            <w:proofErr w:type="gramStart"/>
            <w:r w:rsidR="009B1DC0" w:rsidRPr="002217C7">
              <w:t>means</w:t>
            </w:r>
            <w:proofErr w:type="gramEnd"/>
            <w:r w:rsidR="009B1DC0" w:rsidRPr="002217C7">
              <w:t xml:space="preserve">” are </w:t>
            </w:r>
            <w:r w:rsidRPr="002217C7">
              <w:t xml:space="preserve">described in Appendix </w:t>
            </w:r>
            <w:r w:rsidR="00EE38E9" w:rsidRPr="00A2244A">
              <w:rPr>
                <w:sz w:val="22"/>
                <w:szCs w:val="22"/>
              </w:rPr>
              <w:t>1</w:t>
            </w:r>
            <w:r w:rsidR="0025618C" w:rsidRPr="00A2244A">
              <w:rPr>
                <w:sz w:val="22"/>
                <w:szCs w:val="22"/>
              </w:rPr>
              <w:t xml:space="preserve"> (</w:t>
            </w:r>
            <w:r w:rsidR="00747897" w:rsidRPr="00A2244A">
              <w:rPr>
                <w:sz w:val="22"/>
                <w:szCs w:val="22"/>
              </w:rPr>
              <w:t>added by the applicant)</w:t>
            </w:r>
          </w:p>
        </w:tc>
      </w:tr>
      <w:tr w:rsidR="00F16216" w:rsidRPr="00A04CA2" w14:paraId="721945F5" w14:textId="77777777" w:rsidTr="0042690D">
        <w:trPr>
          <w:trHeight w:val="843"/>
        </w:trPr>
        <w:tc>
          <w:tcPr>
            <w:tcW w:w="2675" w:type="dxa"/>
            <w:vMerge w:val="restart"/>
          </w:tcPr>
          <w:p w14:paraId="5685C6EF" w14:textId="2A5855D9" w:rsidR="00F16216" w:rsidRPr="00196451" w:rsidRDefault="00F16216" w:rsidP="000D564B">
            <w:pPr>
              <w:tabs>
                <w:tab w:val="left" w:pos="426"/>
              </w:tabs>
              <w:spacing w:before="100"/>
              <w:contextualSpacing/>
              <w:rPr>
                <w:sz w:val="22"/>
                <w:szCs w:val="22"/>
                <w:highlight w:val="lightGray"/>
              </w:rPr>
            </w:pPr>
            <w:r w:rsidRPr="00196451">
              <w:rPr>
                <w:sz w:val="22"/>
                <w:szCs w:val="22"/>
              </w:rPr>
              <w:lastRenderedPageBreak/>
              <w:t>Financing not linked to costs</w:t>
            </w:r>
          </w:p>
        </w:tc>
        <w:tc>
          <w:tcPr>
            <w:tcW w:w="6341" w:type="dxa"/>
          </w:tcPr>
          <w:p w14:paraId="20E7A7B3" w14:textId="250846C2" w:rsidR="00F16216" w:rsidRPr="00196451" w:rsidRDefault="009055DC" w:rsidP="000D564B">
            <w:pPr>
              <w:pStyle w:val="ListParagraph"/>
              <w:spacing w:before="100"/>
              <w:ind w:left="0"/>
              <w:rPr>
                <w:sz w:val="22"/>
                <w:szCs w:val="22"/>
              </w:rPr>
            </w:pPr>
            <w:r w:rsidRPr="00196451">
              <w:rPr>
                <w:sz w:val="22"/>
                <w:szCs w:val="22"/>
              </w:rPr>
              <w:t xml:space="preserve">Maximum EU contribution for </w:t>
            </w:r>
            <w:r w:rsidR="00F16216" w:rsidRPr="00196451">
              <w:rPr>
                <w:sz w:val="22"/>
                <w:szCs w:val="22"/>
              </w:rPr>
              <w:t>indicator 1.1.1: EUR 80</w:t>
            </w:r>
            <w:r w:rsidR="008B4091">
              <w:rPr>
                <w:sz w:val="22"/>
                <w:szCs w:val="22"/>
              </w:rPr>
              <w:t xml:space="preserve"> </w:t>
            </w:r>
            <w:r w:rsidR="00F16216" w:rsidRPr="00196451">
              <w:rPr>
                <w:sz w:val="22"/>
                <w:szCs w:val="22"/>
              </w:rPr>
              <w:t>000</w:t>
            </w:r>
          </w:p>
        </w:tc>
      </w:tr>
      <w:tr w:rsidR="00F16216" w:rsidRPr="00A04CA2" w14:paraId="3CA68D84" w14:textId="77777777" w:rsidTr="0042690D">
        <w:trPr>
          <w:trHeight w:val="1993"/>
        </w:trPr>
        <w:tc>
          <w:tcPr>
            <w:tcW w:w="2675" w:type="dxa"/>
            <w:vMerge/>
          </w:tcPr>
          <w:p w14:paraId="4E9DB03B" w14:textId="77777777" w:rsidR="00F16216" w:rsidRPr="00196451" w:rsidRDefault="00F16216" w:rsidP="000D564B">
            <w:pPr>
              <w:tabs>
                <w:tab w:val="left" w:pos="426"/>
              </w:tabs>
              <w:spacing w:before="100"/>
              <w:contextualSpacing/>
              <w:rPr>
                <w:sz w:val="22"/>
                <w:szCs w:val="22"/>
                <w:highlight w:val="lightGray"/>
              </w:rPr>
            </w:pPr>
          </w:p>
        </w:tc>
        <w:tc>
          <w:tcPr>
            <w:tcW w:w="6341" w:type="dxa"/>
          </w:tcPr>
          <w:p w14:paraId="7C620CC6" w14:textId="77777777" w:rsidR="00BE5BDF" w:rsidRPr="00196451" w:rsidRDefault="00BE5BDF" w:rsidP="00BE5BDF">
            <w:pPr>
              <w:pStyle w:val="ListParagraph"/>
              <w:spacing w:before="100"/>
              <w:ind w:left="0"/>
              <w:rPr>
                <w:sz w:val="22"/>
                <w:szCs w:val="22"/>
              </w:rPr>
            </w:pPr>
            <w:r w:rsidRPr="00196451">
              <w:rPr>
                <w:sz w:val="22"/>
                <w:szCs w:val="22"/>
              </w:rPr>
              <w:t>In case of full achievement:</w:t>
            </w:r>
          </w:p>
          <w:p w14:paraId="6618B607" w14:textId="498F4AE1" w:rsidR="00BE5BDF" w:rsidRPr="00196451" w:rsidRDefault="00BE5BDF" w:rsidP="00BE5BDF">
            <w:pPr>
              <w:pStyle w:val="ListParagraph"/>
              <w:numPr>
                <w:ilvl w:val="0"/>
                <w:numId w:val="4"/>
              </w:numPr>
              <w:spacing w:before="100"/>
              <w:rPr>
                <w:sz w:val="22"/>
                <w:szCs w:val="22"/>
              </w:rPr>
            </w:pPr>
            <w:r w:rsidRPr="00196451">
              <w:rPr>
                <w:sz w:val="22"/>
                <w:szCs w:val="22"/>
              </w:rPr>
              <w:t xml:space="preserve">One conference with </w:t>
            </w:r>
            <w:r w:rsidR="00021E21" w:rsidRPr="00196451">
              <w:rPr>
                <w:sz w:val="22"/>
                <w:szCs w:val="22"/>
              </w:rPr>
              <w:t>3</w:t>
            </w:r>
            <w:r w:rsidRPr="00196451">
              <w:rPr>
                <w:sz w:val="22"/>
                <w:szCs w:val="22"/>
              </w:rPr>
              <w:t xml:space="preserve"> policy related action points: EUR 20</w:t>
            </w:r>
            <w:r w:rsidR="008B4091">
              <w:rPr>
                <w:sz w:val="22"/>
                <w:szCs w:val="22"/>
              </w:rPr>
              <w:t xml:space="preserve"> </w:t>
            </w:r>
            <w:r w:rsidRPr="00196451">
              <w:rPr>
                <w:sz w:val="22"/>
                <w:szCs w:val="22"/>
              </w:rPr>
              <w:t>000</w:t>
            </w:r>
          </w:p>
          <w:p w14:paraId="5364ED6A" w14:textId="77777777" w:rsidR="00F16216" w:rsidRPr="00196451" w:rsidRDefault="00F16216" w:rsidP="000D564B">
            <w:pPr>
              <w:pStyle w:val="ListParagraph"/>
              <w:spacing w:before="100"/>
              <w:ind w:left="0"/>
              <w:rPr>
                <w:sz w:val="22"/>
                <w:szCs w:val="22"/>
              </w:rPr>
            </w:pPr>
            <w:r w:rsidRPr="00196451">
              <w:rPr>
                <w:sz w:val="22"/>
                <w:szCs w:val="22"/>
              </w:rPr>
              <w:t>In case of partial achievement:</w:t>
            </w:r>
          </w:p>
          <w:p w14:paraId="0E6D5C1D" w14:textId="193881BE" w:rsidR="00F16216" w:rsidRPr="00196451" w:rsidRDefault="00F16216" w:rsidP="00F16216">
            <w:pPr>
              <w:pStyle w:val="ListParagraph"/>
              <w:numPr>
                <w:ilvl w:val="0"/>
                <w:numId w:val="4"/>
              </w:numPr>
              <w:spacing w:before="100"/>
              <w:rPr>
                <w:sz w:val="22"/>
                <w:szCs w:val="22"/>
              </w:rPr>
            </w:pPr>
            <w:r w:rsidRPr="00196451">
              <w:rPr>
                <w:sz w:val="22"/>
                <w:szCs w:val="22"/>
              </w:rPr>
              <w:t>One conference with 2 policy related action points: EUR 1</w:t>
            </w:r>
            <w:r w:rsidR="00021E21" w:rsidRPr="00196451">
              <w:rPr>
                <w:sz w:val="22"/>
                <w:szCs w:val="22"/>
              </w:rPr>
              <w:t>0</w:t>
            </w:r>
            <w:r w:rsidR="008B4091">
              <w:rPr>
                <w:sz w:val="22"/>
                <w:szCs w:val="22"/>
              </w:rPr>
              <w:t xml:space="preserve"> </w:t>
            </w:r>
            <w:r w:rsidRPr="00196451">
              <w:rPr>
                <w:sz w:val="22"/>
                <w:szCs w:val="22"/>
              </w:rPr>
              <w:t>000</w:t>
            </w:r>
          </w:p>
          <w:p w14:paraId="39E5B6E7" w14:textId="1E26B709" w:rsidR="00F16216" w:rsidRPr="00196451" w:rsidRDefault="00F16216" w:rsidP="00F16216">
            <w:pPr>
              <w:pStyle w:val="ListParagraph"/>
              <w:numPr>
                <w:ilvl w:val="0"/>
                <w:numId w:val="4"/>
              </w:numPr>
              <w:spacing w:before="100"/>
              <w:rPr>
                <w:sz w:val="22"/>
                <w:szCs w:val="22"/>
              </w:rPr>
            </w:pPr>
            <w:r w:rsidRPr="00196451">
              <w:rPr>
                <w:sz w:val="22"/>
                <w:szCs w:val="22"/>
              </w:rPr>
              <w:t>One conference with 1 policy related action point: EUR 0</w:t>
            </w:r>
          </w:p>
        </w:tc>
      </w:tr>
      <w:tr w:rsidR="00F16216" w:rsidRPr="00A04CA2" w14:paraId="22961523" w14:textId="77777777" w:rsidTr="0042690D">
        <w:tc>
          <w:tcPr>
            <w:tcW w:w="9016" w:type="dxa"/>
            <w:gridSpan w:val="2"/>
          </w:tcPr>
          <w:p w14:paraId="1A7200D1" w14:textId="5E93176C" w:rsidR="00F16216" w:rsidRPr="00196451" w:rsidRDefault="00F16216" w:rsidP="000D564B">
            <w:pPr>
              <w:pStyle w:val="ListParagraph"/>
              <w:spacing w:before="100"/>
              <w:ind w:left="0"/>
              <w:rPr>
                <w:sz w:val="22"/>
                <w:szCs w:val="22"/>
              </w:rPr>
            </w:pPr>
            <w:r w:rsidRPr="00196451">
              <w:rPr>
                <w:b/>
                <w:bCs/>
                <w:sz w:val="22"/>
                <w:szCs w:val="22"/>
              </w:rPr>
              <w:t xml:space="preserve">Output </w:t>
            </w:r>
            <w:r w:rsidR="0042690D" w:rsidRPr="00196451">
              <w:rPr>
                <w:b/>
                <w:bCs/>
                <w:sz w:val="22"/>
                <w:szCs w:val="22"/>
              </w:rPr>
              <w:t>1.</w:t>
            </w:r>
            <w:r w:rsidRPr="00196451">
              <w:rPr>
                <w:b/>
                <w:bCs/>
                <w:sz w:val="22"/>
                <w:szCs w:val="22"/>
              </w:rPr>
              <w:t>2</w:t>
            </w:r>
            <w:r w:rsidRPr="00196451">
              <w:rPr>
                <w:sz w:val="22"/>
                <w:szCs w:val="22"/>
              </w:rPr>
              <w:t xml:space="preserve">: </w:t>
            </w:r>
            <w:r w:rsidR="0042690D" w:rsidRPr="00196451">
              <w:rPr>
                <w:sz w:val="22"/>
                <w:szCs w:val="22"/>
              </w:rPr>
              <w:t>Increased capacity to engage on regulatory framework</w:t>
            </w:r>
          </w:p>
        </w:tc>
      </w:tr>
      <w:tr w:rsidR="00B21FF7" w:rsidRPr="00A04CA2" w14:paraId="33D29945" w14:textId="77777777" w:rsidTr="0042690D">
        <w:tc>
          <w:tcPr>
            <w:tcW w:w="2675" w:type="dxa"/>
          </w:tcPr>
          <w:p w14:paraId="72B5B6EE" w14:textId="290BBA63" w:rsidR="00B21FF7" w:rsidRPr="00196451" w:rsidRDefault="00B21FF7" w:rsidP="00B21FF7">
            <w:pPr>
              <w:tabs>
                <w:tab w:val="left" w:pos="426"/>
              </w:tabs>
              <w:spacing w:before="100"/>
              <w:contextualSpacing/>
              <w:rPr>
                <w:sz w:val="22"/>
                <w:szCs w:val="22"/>
                <w:highlight w:val="yellow"/>
              </w:rPr>
            </w:pPr>
            <w:r w:rsidRPr="00196451">
              <w:rPr>
                <w:sz w:val="22"/>
                <w:szCs w:val="22"/>
                <w:u w:val="single"/>
              </w:rPr>
              <w:t>Indicator 1</w:t>
            </w:r>
            <w:r w:rsidRPr="00196451">
              <w:rPr>
                <w:sz w:val="22"/>
                <w:szCs w:val="22"/>
              </w:rPr>
              <w:t xml:space="preserve"> to output 1.2</w:t>
            </w:r>
          </w:p>
        </w:tc>
        <w:tc>
          <w:tcPr>
            <w:tcW w:w="6341" w:type="dxa"/>
          </w:tcPr>
          <w:p w14:paraId="4037B2C9" w14:textId="5D19C1CD" w:rsidR="00B21FF7" w:rsidRPr="00196451" w:rsidRDefault="00B21FF7" w:rsidP="00B21FF7">
            <w:pPr>
              <w:pStyle w:val="ListParagraph"/>
              <w:spacing w:before="100"/>
              <w:ind w:left="0"/>
              <w:rPr>
                <w:sz w:val="22"/>
                <w:szCs w:val="22"/>
              </w:rPr>
            </w:pPr>
            <w:r w:rsidRPr="00196451">
              <w:rPr>
                <w:sz w:val="22"/>
                <w:szCs w:val="22"/>
              </w:rPr>
              <w:t>1.2.1 - Number of consultation / training events where at least 50% of the participants trained pass performance assessment (test) with a minimum score of 65%</w:t>
            </w:r>
          </w:p>
        </w:tc>
      </w:tr>
      <w:tr w:rsidR="00B21FF7" w:rsidRPr="00A04CA2" w14:paraId="6C61417F" w14:textId="77777777" w:rsidTr="0042690D">
        <w:tc>
          <w:tcPr>
            <w:tcW w:w="2675" w:type="dxa"/>
          </w:tcPr>
          <w:p w14:paraId="42D2C35A" w14:textId="339E5B00" w:rsidR="00B21FF7" w:rsidRPr="00196451" w:rsidRDefault="00B21FF7" w:rsidP="00B21FF7">
            <w:pPr>
              <w:tabs>
                <w:tab w:val="left" w:pos="426"/>
              </w:tabs>
              <w:spacing w:before="100"/>
              <w:contextualSpacing/>
              <w:rPr>
                <w:sz w:val="22"/>
                <w:szCs w:val="22"/>
                <w:highlight w:val="yellow"/>
              </w:rPr>
            </w:pPr>
            <w:r w:rsidRPr="00196451">
              <w:rPr>
                <w:sz w:val="22"/>
                <w:szCs w:val="22"/>
              </w:rPr>
              <w:t xml:space="preserve">Indicator 1 </w:t>
            </w:r>
            <w:r w:rsidRPr="00196451">
              <w:rPr>
                <w:sz w:val="22"/>
                <w:szCs w:val="22"/>
                <w:u w:val="single"/>
              </w:rPr>
              <w:t>target</w:t>
            </w:r>
            <w:r w:rsidRPr="00196451">
              <w:rPr>
                <w:sz w:val="22"/>
                <w:szCs w:val="22"/>
              </w:rPr>
              <w:t xml:space="preserve"> with </w:t>
            </w:r>
            <w:r w:rsidRPr="00196451">
              <w:rPr>
                <w:sz w:val="22"/>
                <w:szCs w:val="22"/>
                <w:u w:val="single"/>
              </w:rPr>
              <w:t>year</w:t>
            </w:r>
          </w:p>
        </w:tc>
        <w:tc>
          <w:tcPr>
            <w:tcW w:w="6341" w:type="dxa"/>
          </w:tcPr>
          <w:p w14:paraId="2A9D375A" w14:textId="3C1AD0D7" w:rsidR="00B21FF7" w:rsidRPr="00196451" w:rsidRDefault="00B21FF7" w:rsidP="00B21FF7">
            <w:pPr>
              <w:pStyle w:val="ListParagraph"/>
              <w:spacing w:before="100"/>
              <w:ind w:left="0"/>
              <w:rPr>
                <w:sz w:val="22"/>
                <w:szCs w:val="22"/>
              </w:rPr>
            </w:pPr>
            <w:r w:rsidRPr="00196451">
              <w:rPr>
                <w:sz w:val="22"/>
                <w:szCs w:val="22"/>
              </w:rPr>
              <w:t>6 by 202</w:t>
            </w:r>
            <w:r w:rsidR="00A26DE5" w:rsidRPr="00196451">
              <w:rPr>
                <w:sz w:val="22"/>
                <w:szCs w:val="22"/>
              </w:rPr>
              <w:t>6</w:t>
            </w:r>
          </w:p>
        </w:tc>
      </w:tr>
      <w:tr w:rsidR="00B21FF7" w:rsidRPr="00A04CA2" w14:paraId="59F71EDB" w14:textId="77777777" w:rsidTr="0042690D">
        <w:tc>
          <w:tcPr>
            <w:tcW w:w="2675" w:type="dxa"/>
            <w:vMerge w:val="restart"/>
          </w:tcPr>
          <w:p w14:paraId="59E6CFE2" w14:textId="7BFCA847" w:rsidR="00B21FF7" w:rsidRPr="00196451" w:rsidRDefault="00B21FF7" w:rsidP="00B21FF7">
            <w:pPr>
              <w:tabs>
                <w:tab w:val="left" w:pos="426"/>
              </w:tabs>
              <w:spacing w:before="100"/>
              <w:contextualSpacing/>
              <w:rPr>
                <w:sz w:val="22"/>
                <w:szCs w:val="22"/>
                <w:highlight w:val="yellow"/>
              </w:rPr>
            </w:pPr>
            <w:r w:rsidRPr="00196451">
              <w:rPr>
                <w:sz w:val="22"/>
                <w:szCs w:val="22"/>
              </w:rPr>
              <w:t>Sources of data for the values of the indicator</w:t>
            </w:r>
          </w:p>
        </w:tc>
        <w:tc>
          <w:tcPr>
            <w:tcW w:w="6341" w:type="dxa"/>
          </w:tcPr>
          <w:p w14:paraId="06C1F596" w14:textId="27D60DFF" w:rsidR="00B21FF7" w:rsidRPr="00196451" w:rsidRDefault="00B21FF7" w:rsidP="00B21FF7">
            <w:pPr>
              <w:pStyle w:val="ListParagraph"/>
              <w:spacing w:before="100"/>
              <w:ind w:left="0"/>
              <w:rPr>
                <w:sz w:val="22"/>
                <w:szCs w:val="22"/>
              </w:rPr>
            </w:pPr>
            <w:r w:rsidRPr="00196451">
              <w:rPr>
                <w:sz w:val="22"/>
                <w:szCs w:val="22"/>
              </w:rPr>
              <w:t xml:space="preserve">Test results of participants based on pre-defined test questions agreed with the EU Delegation and testing overseen by </w:t>
            </w:r>
            <w:proofErr w:type="gramStart"/>
            <w:r w:rsidRPr="00196451">
              <w:rPr>
                <w:sz w:val="22"/>
                <w:szCs w:val="22"/>
              </w:rPr>
              <w:t>Technical</w:t>
            </w:r>
            <w:proofErr w:type="gramEnd"/>
            <w:r w:rsidRPr="00196451">
              <w:rPr>
                <w:sz w:val="22"/>
                <w:szCs w:val="22"/>
              </w:rPr>
              <w:t xml:space="preserve"> assistance.</w:t>
            </w:r>
          </w:p>
        </w:tc>
      </w:tr>
      <w:tr w:rsidR="00B21FF7" w:rsidRPr="00A04CA2" w14:paraId="20EB337F" w14:textId="77777777" w:rsidTr="0042690D">
        <w:tc>
          <w:tcPr>
            <w:tcW w:w="2675" w:type="dxa"/>
            <w:vMerge/>
          </w:tcPr>
          <w:p w14:paraId="46038B00" w14:textId="77777777" w:rsidR="00B21FF7" w:rsidRPr="00196451" w:rsidRDefault="00B21FF7" w:rsidP="00B21FF7">
            <w:pPr>
              <w:tabs>
                <w:tab w:val="left" w:pos="426"/>
              </w:tabs>
              <w:spacing w:before="100"/>
              <w:contextualSpacing/>
              <w:rPr>
                <w:sz w:val="22"/>
                <w:szCs w:val="22"/>
                <w:highlight w:val="yellow"/>
              </w:rPr>
            </w:pPr>
          </w:p>
        </w:tc>
        <w:tc>
          <w:tcPr>
            <w:tcW w:w="6341" w:type="dxa"/>
          </w:tcPr>
          <w:p w14:paraId="10F84E94" w14:textId="59E3BD69" w:rsidR="00B21FF7" w:rsidRPr="00A2244A" w:rsidRDefault="00B21FF7" w:rsidP="00B21FF7">
            <w:pPr>
              <w:pStyle w:val="ListParagraph"/>
              <w:spacing w:before="100"/>
              <w:ind w:left="0"/>
              <w:rPr>
                <w:sz w:val="22"/>
                <w:szCs w:val="22"/>
              </w:rPr>
            </w:pPr>
            <w:r w:rsidRPr="002217C7">
              <w:t xml:space="preserve">Technical specifications/standards </w:t>
            </w:r>
            <w:r w:rsidR="00EE38E9" w:rsidRPr="002217C7">
              <w:t xml:space="preserve">on the performance test criteria are </w:t>
            </w:r>
            <w:r w:rsidRPr="002217C7">
              <w:t xml:space="preserve">described in </w:t>
            </w:r>
            <w:r w:rsidR="00EE38E9" w:rsidRPr="002217C7">
              <w:t xml:space="preserve">detail in </w:t>
            </w:r>
            <w:r w:rsidRPr="002217C7">
              <w:t xml:space="preserve">Appendix </w:t>
            </w:r>
            <w:r w:rsidR="00EE38E9" w:rsidRPr="002217C7">
              <w:t>2</w:t>
            </w:r>
            <w:r w:rsidR="00747897" w:rsidRPr="00A2244A">
              <w:rPr>
                <w:sz w:val="22"/>
                <w:szCs w:val="22"/>
              </w:rPr>
              <w:t xml:space="preserve"> (added by the applicant)</w:t>
            </w:r>
          </w:p>
        </w:tc>
      </w:tr>
      <w:tr w:rsidR="00A26DE5" w:rsidRPr="00A04CA2" w14:paraId="4DB22FF1" w14:textId="77777777" w:rsidTr="0042690D">
        <w:tc>
          <w:tcPr>
            <w:tcW w:w="2675" w:type="dxa"/>
            <w:vMerge w:val="restart"/>
          </w:tcPr>
          <w:p w14:paraId="314EB426" w14:textId="52C13FAB" w:rsidR="00A26DE5" w:rsidRPr="00196451" w:rsidRDefault="00A26DE5" w:rsidP="00B21FF7">
            <w:pPr>
              <w:tabs>
                <w:tab w:val="left" w:pos="426"/>
              </w:tabs>
              <w:spacing w:before="100"/>
              <w:contextualSpacing/>
              <w:rPr>
                <w:sz w:val="22"/>
                <w:szCs w:val="22"/>
                <w:highlight w:val="yellow"/>
              </w:rPr>
            </w:pPr>
            <w:r w:rsidRPr="00196451">
              <w:rPr>
                <w:sz w:val="22"/>
                <w:szCs w:val="22"/>
              </w:rPr>
              <w:t>Financing not linked to costs</w:t>
            </w:r>
          </w:p>
        </w:tc>
        <w:tc>
          <w:tcPr>
            <w:tcW w:w="6341" w:type="dxa"/>
          </w:tcPr>
          <w:p w14:paraId="3361E59B" w14:textId="10E653D1" w:rsidR="00A26DE5" w:rsidRPr="00196451" w:rsidRDefault="009055DC" w:rsidP="00B21FF7">
            <w:pPr>
              <w:pStyle w:val="ListParagraph"/>
              <w:spacing w:before="100"/>
              <w:ind w:left="0"/>
              <w:rPr>
                <w:sz w:val="22"/>
                <w:szCs w:val="22"/>
              </w:rPr>
            </w:pPr>
            <w:r w:rsidRPr="00196451">
              <w:rPr>
                <w:sz w:val="22"/>
                <w:szCs w:val="22"/>
              </w:rPr>
              <w:t xml:space="preserve">Maximum EU contribution for </w:t>
            </w:r>
            <w:r w:rsidR="00A26DE5" w:rsidRPr="00196451">
              <w:rPr>
                <w:sz w:val="22"/>
                <w:szCs w:val="22"/>
              </w:rPr>
              <w:t>indicator 1.2.1: EUR 60</w:t>
            </w:r>
            <w:r w:rsidR="008B4091">
              <w:rPr>
                <w:sz w:val="22"/>
                <w:szCs w:val="22"/>
              </w:rPr>
              <w:t xml:space="preserve"> </w:t>
            </w:r>
            <w:r w:rsidR="00A26DE5" w:rsidRPr="00196451">
              <w:rPr>
                <w:sz w:val="22"/>
                <w:szCs w:val="22"/>
              </w:rPr>
              <w:t>000</w:t>
            </w:r>
          </w:p>
        </w:tc>
      </w:tr>
      <w:tr w:rsidR="00A26DE5" w:rsidRPr="00A04CA2" w14:paraId="749C7CC7" w14:textId="77777777" w:rsidTr="0042690D">
        <w:tc>
          <w:tcPr>
            <w:tcW w:w="2675" w:type="dxa"/>
            <w:vMerge/>
          </w:tcPr>
          <w:p w14:paraId="4500FFC6" w14:textId="77777777" w:rsidR="00A26DE5" w:rsidRPr="00196451" w:rsidRDefault="00A26DE5" w:rsidP="00A26DE5">
            <w:pPr>
              <w:tabs>
                <w:tab w:val="left" w:pos="426"/>
              </w:tabs>
              <w:spacing w:before="100"/>
              <w:contextualSpacing/>
              <w:rPr>
                <w:sz w:val="22"/>
                <w:szCs w:val="22"/>
              </w:rPr>
            </w:pPr>
          </w:p>
        </w:tc>
        <w:tc>
          <w:tcPr>
            <w:tcW w:w="6341" w:type="dxa"/>
          </w:tcPr>
          <w:p w14:paraId="5AF09520" w14:textId="7C007F78" w:rsidR="00A26DE5" w:rsidRPr="00196451" w:rsidRDefault="00A26DE5" w:rsidP="00A26DE5">
            <w:pPr>
              <w:pStyle w:val="ListParagraph"/>
              <w:spacing w:before="100"/>
              <w:ind w:left="0"/>
              <w:rPr>
                <w:sz w:val="22"/>
                <w:szCs w:val="22"/>
              </w:rPr>
            </w:pPr>
            <w:r w:rsidRPr="00196451">
              <w:rPr>
                <w:sz w:val="22"/>
                <w:szCs w:val="22"/>
              </w:rPr>
              <w:t>In case of full achievement:</w:t>
            </w:r>
          </w:p>
          <w:p w14:paraId="067130EB" w14:textId="6F2A3743" w:rsidR="00A26DE5" w:rsidRPr="00196451" w:rsidRDefault="00A26DE5" w:rsidP="00A26DE5">
            <w:pPr>
              <w:pStyle w:val="ListParagraph"/>
              <w:numPr>
                <w:ilvl w:val="0"/>
                <w:numId w:val="5"/>
              </w:numPr>
              <w:spacing w:before="100"/>
              <w:rPr>
                <w:sz w:val="22"/>
                <w:szCs w:val="22"/>
              </w:rPr>
            </w:pPr>
            <w:r w:rsidRPr="00196451">
              <w:rPr>
                <w:sz w:val="22"/>
                <w:szCs w:val="22"/>
              </w:rPr>
              <w:t>at least 50% of the participants trained pass performance assessment (test) with a minimum score of 65%: EUR 10</w:t>
            </w:r>
            <w:r w:rsidR="008B4091">
              <w:rPr>
                <w:sz w:val="22"/>
                <w:szCs w:val="22"/>
              </w:rPr>
              <w:t xml:space="preserve"> </w:t>
            </w:r>
            <w:r w:rsidRPr="00196451">
              <w:rPr>
                <w:sz w:val="22"/>
                <w:szCs w:val="22"/>
              </w:rPr>
              <w:t>000</w:t>
            </w:r>
          </w:p>
          <w:p w14:paraId="01CD2EE8" w14:textId="77777777" w:rsidR="00A26DE5" w:rsidRPr="00196451" w:rsidRDefault="00A26DE5" w:rsidP="00A26DE5">
            <w:pPr>
              <w:spacing w:before="100"/>
              <w:rPr>
                <w:sz w:val="22"/>
                <w:szCs w:val="22"/>
              </w:rPr>
            </w:pPr>
            <w:r w:rsidRPr="00196451">
              <w:rPr>
                <w:sz w:val="22"/>
                <w:szCs w:val="22"/>
              </w:rPr>
              <w:t>In case of partial achievement:</w:t>
            </w:r>
          </w:p>
          <w:p w14:paraId="203FCD8A" w14:textId="41970A56" w:rsidR="00A26DE5" w:rsidRPr="00196451" w:rsidRDefault="00A26DE5" w:rsidP="00A26DE5">
            <w:pPr>
              <w:pStyle w:val="ListParagraph"/>
              <w:numPr>
                <w:ilvl w:val="0"/>
                <w:numId w:val="5"/>
              </w:numPr>
              <w:spacing w:before="100"/>
              <w:rPr>
                <w:sz w:val="22"/>
                <w:szCs w:val="22"/>
              </w:rPr>
            </w:pPr>
            <w:r w:rsidRPr="00196451">
              <w:rPr>
                <w:sz w:val="22"/>
                <w:szCs w:val="22"/>
              </w:rPr>
              <w:t>at least 40% of the participants trained pass performance assessment (test) with a minimum score of 65%: EUR 8</w:t>
            </w:r>
            <w:r w:rsidR="008B4091">
              <w:rPr>
                <w:sz w:val="22"/>
                <w:szCs w:val="22"/>
              </w:rPr>
              <w:t xml:space="preserve"> </w:t>
            </w:r>
            <w:r w:rsidRPr="00196451">
              <w:rPr>
                <w:sz w:val="22"/>
                <w:szCs w:val="22"/>
              </w:rPr>
              <w:t>000</w:t>
            </w:r>
          </w:p>
          <w:p w14:paraId="41B5DFD0" w14:textId="5A746EF7" w:rsidR="00A26DE5" w:rsidRPr="00196451" w:rsidRDefault="00A26DE5" w:rsidP="00A26DE5">
            <w:pPr>
              <w:pStyle w:val="ListParagraph"/>
              <w:numPr>
                <w:ilvl w:val="0"/>
                <w:numId w:val="5"/>
              </w:numPr>
              <w:spacing w:before="100"/>
              <w:rPr>
                <w:sz w:val="22"/>
                <w:szCs w:val="22"/>
              </w:rPr>
            </w:pPr>
            <w:r w:rsidRPr="00196451">
              <w:rPr>
                <w:sz w:val="22"/>
                <w:szCs w:val="22"/>
              </w:rPr>
              <w:t>at least 30% of the participants trained pass performance assessment (test) with a minimum score of 65%: EUR 5</w:t>
            </w:r>
            <w:r w:rsidR="008B4091">
              <w:rPr>
                <w:sz w:val="22"/>
                <w:szCs w:val="22"/>
              </w:rPr>
              <w:t xml:space="preserve"> </w:t>
            </w:r>
            <w:r w:rsidRPr="00196451">
              <w:rPr>
                <w:sz w:val="22"/>
                <w:szCs w:val="22"/>
              </w:rPr>
              <w:t>000</w:t>
            </w:r>
          </w:p>
          <w:p w14:paraId="52612A31" w14:textId="16CC1E62" w:rsidR="00A26DE5" w:rsidRPr="00196451" w:rsidRDefault="00A26DE5" w:rsidP="00A26DE5">
            <w:pPr>
              <w:pStyle w:val="ListParagraph"/>
              <w:numPr>
                <w:ilvl w:val="0"/>
                <w:numId w:val="5"/>
              </w:numPr>
              <w:spacing w:before="100"/>
              <w:rPr>
                <w:sz w:val="22"/>
                <w:szCs w:val="22"/>
              </w:rPr>
            </w:pPr>
            <w:r w:rsidRPr="00196451">
              <w:rPr>
                <w:sz w:val="22"/>
                <w:szCs w:val="22"/>
              </w:rPr>
              <w:t>Less than 30% of the participants trained pass performance assessment (test) with a minimum score of 65%: EUR 0</w:t>
            </w:r>
          </w:p>
        </w:tc>
      </w:tr>
      <w:tr w:rsidR="00F03724" w:rsidRPr="00A04CA2" w14:paraId="5DED23EC" w14:textId="77777777" w:rsidTr="00D85A2B">
        <w:tc>
          <w:tcPr>
            <w:tcW w:w="9016" w:type="dxa"/>
            <w:gridSpan w:val="2"/>
          </w:tcPr>
          <w:p w14:paraId="05E93043" w14:textId="40ED2D17" w:rsidR="00F03724" w:rsidRPr="00196451" w:rsidRDefault="00F03724" w:rsidP="00A26DE5">
            <w:pPr>
              <w:pStyle w:val="ListParagraph"/>
              <w:spacing w:before="100"/>
              <w:ind w:left="0"/>
              <w:rPr>
                <w:b/>
                <w:bCs/>
                <w:sz w:val="22"/>
                <w:szCs w:val="22"/>
              </w:rPr>
            </w:pPr>
            <w:r w:rsidRPr="00196451">
              <w:rPr>
                <w:b/>
                <w:bCs/>
                <w:sz w:val="22"/>
                <w:szCs w:val="22"/>
              </w:rPr>
              <w:t xml:space="preserve">Output 2.1: </w:t>
            </w:r>
            <w:r w:rsidRPr="00196451">
              <w:rPr>
                <w:sz w:val="22"/>
                <w:szCs w:val="22"/>
              </w:rPr>
              <w:t>Adherence to public procurement procedures described in Annex 1 for the procurement of new Renewable Energy generation from Independent from Power Producers (IPPs) is ensured</w:t>
            </w:r>
          </w:p>
        </w:tc>
      </w:tr>
      <w:tr w:rsidR="00F03724" w:rsidRPr="00A04CA2" w14:paraId="4E2EC5BC" w14:textId="77777777" w:rsidTr="0042690D">
        <w:tc>
          <w:tcPr>
            <w:tcW w:w="2675" w:type="dxa"/>
          </w:tcPr>
          <w:p w14:paraId="53840DFE" w14:textId="1B4E5E4E" w:rsidR="00F03724" w:rsidRPr="00196451" w:rsidRDefault="00F03724" w:rsidP="00F03724">
            <w:pPr>
              <w:tabs>
                <w:tab w:val="left" w:pos="426"/>
              </w:tabs>
              <w:spacing w:before="100"/>
              <w:contextualSpacing/>
              <w:rPr>
                <w:sz w:val="22"/>
                <w:szCs w:val="22"/>
              </w:rPr>
            </w:pPr>
            <w:r w:rsidRPr="00196451">
              <w:rPr>
                <w:sz w:val="22"/>
                <w:szCs w:val="22"/>
                <w:u w:val="single"/>
              </w:rPr>
              <w:t>Indicator 1</w:t>
            </w:r>
            <w:r w:rsidRPr="00196451">
              <w:rPr>
                <w:sz w:val="22"/>
                <w:szCs w:val="22"/>
              </w:rPr>
              <w:t xml:space="preserve"> to output 2.</w:t>
            </w:r>
            <w:r w:rsidR="00D90998" w:rsidRPr="00196451">
              <w:rPr>
                <w:sz w:val="22"/>
                <w:szCs w:val="22"/>
              </w:rPr>
              <w:t>1</w:t>
            </w:r>
          </w:p>
        </w:tc>
        <w:tc>
          <w:tcPr>
            <w:tcW w:w="6341" w:type="dxa"/>
          </w:tcPr>
          <w:p w14:paraId="0C19A07E" w14:textId="3FD1DEE2" w:rsidR="00F03724" w:rsidRPr="00196451" w:rsidRDefault="00D90998" w:rsidP="00F03724">
            <w:pPr>
              <w:pStyle w:val="ListParagraph"/>
              <w:spacing w:before="100"/>
              <w:ind w:left="0"/>
              <w:rPr>
                <w:sz w:val="22"/>
                <w:szCs w:val="22"/>
              </w:rPr>
            </w:pPr>
            <w:r w:rsidRPr="00196451">
              <w:rPr>
                <w:sz w:val="22"/>
                <w:szCs w:val="22"/>
              </w:rPr>
              <w:t xml:space="preserve">2.1.1 - Number of technology-specific and site-specific grid-tied RE generation projects tendered following the public procurement procedures </w:t>
            </w:r>
            <w:r w:rsidR="003A7C48" w:rsidRPr="00196451">
              <w:rPr>
                <w:sz w:val="22"/>
                <w:szCs w:val="22"/>
              </w:rPr>
              <w:t>(</w:t>
            </w:r>
            <w:r w:rsidRPr="00196451">
              <w:rPr>
                <w:sz w:val="22"/>
                <w:szCs w:val="22"/>
              </w:rPr>
              <w:t xml:space="preserve">set out in </w:t>
            </w:r>
            <w:r w:rsidR="00411A5F" w:rsidRPr="00196451">
              <w:rPr>
                <w:sz w:val="22"/>
                <w:szCs w:val="22"/>
              </w:rPr>
              <w:t>Appendix 3</w:t>
            </w:r>
            <w:r w:rsidR="003A7C48" w:rsidRPr="00196451">
              <w:rPr>
                <w:sz w:val="22"/>
                <w:szCs w:val="22"/>
              </w:rPr>
              <w:t>)</w:t>
            </w:r>
          </w:p>
        </w:tc>
      </w:tr>
      <w:tr w:rsidR="00F03724" w:rsidRPr="00A04CA2" w14:paraId="235F8A6F" w14:textId="77777777" w:rsidTr="0042690D">
        <w:tc>
          <w:tcPr>
            <w:tcW w:w="2675" w:type="dxa"/>
          </w:tcPr>
          <w:p w14:paraId="1405B289" w14:textId="7E01F830" w:rsidR="00F03724" w:rsidRPr="00196451" w:rsidRDefault="00F03724" w:rsidP="00F03724">
            <w:pPr>
              <w:tabs>
                <w:tab w:val="left" w:pos="426"/>
              </w:tabs>
              <w:spacing w:before="100"/>
              <w:contextualSpacing/>
              <w:rPr>
                <w:sz w:val="22"/>
                <w:szCs w:val="22"/>
              </w:rPr>
            </w:pPr>
            <w:r w:rsidRPr="00196451">
              <w:rPr>
                <w:sz w:val="22"/>
                <w:szCs w:val="22"/>
              </w:rPr>
              <w:t xml:space="preserve">Indicator 1 </w:t>
            </w:r>
            <w:r w:rsidRPr="00196451">
              <w:rPr>
                <w:sz w:val="22"/>
                <w:szCs w:val="22"/>
                <w:u w:val="single"/>
              </w:rPr>
              <w:t>target</w:t>
            </w:r>
            <w:r w:rsidRPr="00196451">
              <w:rPr>
                <w:sz w:val="22"/>
                <w:szCs w:val="22"/>
              </w:rPr>
              <w:t xml:space="preserve"> with </w:t>
            </w:r>
            <w:r w:rsidRPr="00196451">
              <w:rPr>
                <w:sz w:val="22"/>
                <w:szCs w:val="22"/>
                <w:u w:val="single"/>
              </w:rPr>
              <w:t>year</w:t>
            </w:r>
          </w:p>
        </w:tc>
        <w:tc>
          <w:tcPr>
            <w:tcW w:w="6341" w:type="dxa"/>
          </w:tcPr>
          <w:p w14:paraId="399EFD13" w14:textId="095717A6" w:rsidR="00F03724" w:rsidRPr="00196451" w:rsidRDefault="00222B22" w:rsidP="00F03724">
            <w:pPr>
              <w:pStyle w:val="ListParagraph"/>
              <w:spacing w:before="100"/>
              <w:ind w:left="0"/>
              <w:rPr>
                <w:sz w:val="22"/>
                <w:szCs w:val="22"/>
              </w:rPr>
            </w:pPr>
            <w:r w:rsidRPr="00196451">
              <w:rPr>
                <w:sz w:val="22"/>
                <w:szCs w:val="22"/>
              </w:rPr>
              <w:t>8 by 2027</w:t>
            </w:r>
          </w:p>
        </w:tc>
      </w:tr>
      <w:tr w:rsidR="00222B22" w:rsidRPr="00A04CA2" w14:paraId="181C4C85" w14:textId="77777777" w:rsidTr="0042690D">
        <w:tc>
          <w:tcPr>
            <w:tcW w:w="2675" w:type="dxa"/>
            <w:vMerge w:val="restart"/>
          </w:tcPr>
          <w:p w14:paraId="0475577A" w14:textId="2C9B3B68" w:rsidR="00222B22" w:rsidRPr="00196451" w:rsidRDefault="00222B22" w:rsidP="00F03724">
            <w:pPr>
              <w:tabs>
                <w:tab w:val="left" w:pos="426"/>
              </w:tabs>
              <w:spacing w:before="100"/>
              <w:contextualSpacing/>
              <w:rPr>
                <w:sz w:val="22"/>
                <w:szCs w:val="22"/>
              </w:rPr>
            </w:pPr>
            <w:r w:rsidRPr="00196451">
              <w:rPr>
                <w:sz w:val="22"/>
                <w:szCs w:val="22"/>
              </w:rPr>
              <w:t>Sources of data for the values of the indicator</w:t>
            </w:r>
          </w:p>
        </w:tc>
        <w:tc>
          <w:tcPr>
            <w:tcW w:w="6341" w:type="dxa"/>
          </w:tcPr>
          <w:p w14:paraId="24A99094" w14:textId="011C6568" w:rsidR="00222B22" w:rsidRPr="00196451" w:rsidRDefault="00222B22" w:rsidP="00F03724">
            <w:pPr>
              <w:pStyle w:val="ListParagraph"/>
              <w:spacing w:before="100"/>
              <w:ind w:left="0"/>
              <w:rPr>
                <w:sz w:val="22"/>
                <w:szCs w:val="22"/>
              </w:rPr>
            </w:pPr>
            <w:r w:rsidRPr="00196451">
              <w:rPr>
                <w:sz w:val="22"/>
                <w:szCs w:val="22"/>
              </w:rPr>
              <w:t>Tender documentation approved by the Public Procurement Authority</w:t>
            </w:r>
          </w:p>
        </w:tc>
      </w:tr>
      <w:tr w:rsidR="00222B22" w:rsidRPr="00A04CA2" w14:paraId="0B2A355A" w14:textId="77777777" w:rsidTr="0042690D">
        <w:tc>
          <w:tcPr>
            <w:tcW w:w="2675" w:type="dxa"/>
            <w:vMerge/>
          </w:tcPr>
          <w:p w14:paraId="03CEAB9F" w14:textId="77777777" w:rsidR="00222B22" w:rsidRPr="00196451" w:rsidRDefault="00222B22" w:rsidP="00222B22">
            <w:pPr>
              <w:tabs>
                <w:tab w:val="left" w:pos="426"/>
              </w:tabs>
              <w:spacing w:before="100"/>
              <w:contextualSpacing/>
              <w:rPr>
                <w:sz w:val="22"/>
                <w:szCs w:val="22"/>
              </w:rPr>
            </w:pPr>
          </w:p>
        </w:tc>
        <w:tc>
          <w:tcPr>
            <w:tcW w:w="6341" w:type="dxa"/>
          </w:tcPr>
          <w:p w14:paraId="2A9AAEA2" w14:textId="7160662E" w:rsidR="00222B22" w:rsidRPr="00A2244A" w:rsidRDefault="00222B22" w:rsidP="00222B22">
            <w:pPr>
              <w:pStyle w:val="ListParagraph"/>
              <w:spacing w:before="100"/>
              <w:ind w:left="0"/>
              <w:rPr>
                <w:sz w:val="22"/>
                <w:szCs w:val="22"/>
              </w:rPr>
            </w:pPr>
            <w:r w:rsidRPr="002217C7">
              <w:t xml:space="preserve">Technical specifications/standards described in </w:t>
            </w:r>
            <w:r w:rsidR="0026203E" w:rsidRPr="002217C7">
              <w:t xml:space="preserve">detail in </w:t>
            </w:r>
            <w:r w:rsidRPr="002217C7">
              <w:t xml:space="preserve">Appendix </w:t>
            </w:r>
            <w:r w:rsidR="0026203E" w:rsidRPr="002217C7">
              <w:t>3</w:t>
            </w:r>
            <w:r w:rsidR="00747897" w:rsidRPr="00A2244A">
              <w:rPr>
                <w:sz w:val="22"/>
                <w:szCs w:val="22"/>
              </w:rPr>
              <w:t xml:space="preserve"> (added by the applicant)</w:t>
            </w:r>
          </w:p>
        </w:tc>
      </w:tr>
      <w:tr w:rsidR="009D30D6" w:rsidRPr="00A04CA2" w14:paraId="4EC3E580" w14:textId="77777777" w:rsidTr="0042690D">
        <w:tc>
          <w:tcPr>
            <w:tcW w:w="2675" w:type="dxa"/>
            <w:vMerge w:val="restart"/>
          </w:tcPr>
          <w:p w14:paraId="25F6CAD4" w14:textId="6594DA34" w:rsidR="009D30D6" w:rsidRPr="00196451" w:rsidRDefault="009D30D6" w:rsidP="0028068C">
            <w:pPr>
              <w:tabs>
                <w:tab w:val="left" w:pos="426"/>
              </w:tabs>
              <w:spacing w:before="100"/>
              <w:contextualSpacing/>
              <w:rPr>
                <w:sz w:val="22"/>
                <w:szCs w:val="22"/>
              </w:rPr>
            </w:pPr>
            <w:r w:rsidRPr="00196451">
              <w:rPr>
                <w:sz w:val="22"/>
                <w:szCs w:val="22"/>
              </w:rPr>
              <w:t>Financing not linked to costs</w:t>
            </w:r>
          </w:p>
        </w:tc>
        <w:tc>
          <w:tcPr>
            <w:tcW w:w="6341" w:type="dxa"/>
          </w:tcPr>
          <w:p w14:paraId="07CFED01" w14:textId="1A3CEA00" w:rsidR="009D30D6" w:rsidRPr="00196451" w:rsidRDefault="009D30D6" w:rsidP="0028068C">
            <w:pPr>
              <w:pStyle w:val="ListParagraph"/>
              <w:spacing w:before="100"/>
              <w:ind w:left="0"/>
              <w:rPr>
                <w:sz w:val="22"/>
                <w:szCs w:val="22"/>
              </w:rPr>
            </w:pPr>
            <w:r w:rsidRPr="00196451">
              <w:rPr>
                <w:sz w:val="22"/>
                <w:szCs w:val="22"/>
              </w:rPr>
              <w:t>Maximum EU contribution for indicator 2.1.1: EUR 120</w:t>
            </w:r>
            <w:r w:rsidR="008B4091">
              <w:rPr>
                <w:sz w:val="22"/>
                <w:szCs w:val="22"/>
              </w:rPr>
              <w:t xml:space="preserve"> </w:t>
            </w:r>
            <w:r w:rsidRPr="00196451">
              <w:rPr>
                <w:sz w:val="22"/>
                <w:szCs w:val="22"/>
              </w:rPr>
              <w:t>000</w:t>
            </w:r>
          </w:p>
        </w:tc>
      </w:tr>
      <w:tr w:rsidR="009D30D6" w:rsidRPr="00A04CA2" w14:paraId="7D2124B3" w14:textId="77777777" w:rsidTr="0042690D">
        <w:tc>
          <w:tcPr>
            <w:tcW w:w="2675" w:type="dxa"/>
            <w:vMerge/>
          </w:tcPr>
          <w:p w14:paraId="65DE2DB4" w14:textId="77777777" w:rsidR="009D30D6" w:rsidRPr="00196451" w:rsidRDefault="009D30D6" w:rsidP="00222B22">
            <w:pPr>
              <w:tabs>
                <w:tab w:val="left" w:pos="426"/>
              </w:tabs>
              <w:spacing w:before="100"/>
              <w:contextualSpacing/>
              <w:rPr>
                <w:sz w:val="22"/>
                <w:szCs w:val="22"/>
              </w:rPr>
            </w:pPr>
          </w:p>
        </w:tc>
        <w:tc>
          <w:tcPr>
            <w:tcW w:w="6341" w:type="dxa"/>
          </w:tcPr>
          <w:p w14:paraId="30BBFDC7" w14:textId="77777777" w:rsidR="009D30D6" w:rsidRPr="00196451" w:rsidRDefault="009D30D6" w:rsidP="00867188">
            <w:pPr>
              <w:pStyle w:val="ListParagraph"/>
              <w:spacing w:before="100"/>
              <w:ind w:left="0"/>
              <w:rPr>
                <w:sz w:val="22"/>
                <w:szCs w:val="22"/>
              </w:rPr>
            </w:pPr>
            <w:r w:rsidRPr="00196451">
              <w:rPr>
                <w:sz w:val="22"/>
                <w:szCs w:val="22"/>
              </w:rPr>
              <w:t>In case of full achievement:</w:t>
            </w:r>
          </w:p>
          <w:p w14:paraId="37038001" w14:textId="2DE9BC12" w:rsidR="009D30D6" w:rsidRPr="00196451" w:rsidRDefault="009D30D6" w:rsidP="00867188">
            <w:pPr>
              <w:pStyle w:val="ListParagraph"/>
              <w:numPr>
                <w:ilvl w:val="0"/>
                <w:numId w:val="5"/>
              </w:numPr>
              <w:spacing w:before="100"/>
              <w:rPr>
                <w:sz w:val="22"/>
                <w:szCs w:val="22"/>
              </w:rPr>
            </w:pPr>
            <w:r w:rsidRPr="00196451">
              <w:rPr>
                <w:sz w:val="22"/>
                <w:szCs w:val="22"/>
              </w:rPr>
              <w:t>One (1) site according to technical specifications: EUR 30</w:t>
            </w:r>
            <w:r w:rsidR="008B4091">
              <w:rPr>
                <w:sz w:val="22"/>
                <w:szCs w:val="22"/>
              </w:rPr>
              <w:t xml:space="preserve"> </w:t>
            </w:r>
            <w:r w:rsidRPr="00196451">
              <w:rPr>
                <w:sz w:val="22"/>
                <w:szCs w:val="22"/>
              </w:rPr>
              <w:t>000</w:t>
            </w:r>
          </w:p>
          <w:p w14:paraId="1C526F7F" w14:textId="75670334" w:rsidR="009D30D6" w:rsidRPr="00196451" w:rsidRDefault="009D30D6" w:rsidP="00867188">
            <w:pPr>
              <w:spacing w:before="100"/>
              <w:rPr>
                <w:sz w:val="22"/>
                <w:szCs w:val="22"/>
              </w:rPr>
            </w:pPr>
            <w:r w:rsidRPr="00196451">
              <w:rPr>
                <w:sz w:val="22"/>
                <w:szCs w:val="22"/>
              </w:rPr>
              <w:t>In case of partial achievement per site:</w:t>
            </w:r>
          </w:p>
          <w:p w14:paraId="218C1968" w14:textId="7AE0CF9C" w:rsidR="009D30D6" w:rsidRPr="00196451" w:rsidRDefault="009D30D6" w:rsidP="00867188">
            <w:pPr>
              <w:pStyle w:val="ListParagraph"/>
              <w:numPr>
                <w:ilvl w:val="0"/>
                <w:numId w:val="5"/>
              </w:numPr>
              <w:spacing w:before="100"/>
              <w:rPr>
                <w:sz w:val="22"/>
                <w:szCs w:val="22"/>
              </w:rPr>
            </w:pPr>
            <w:r w:rsidRPr="00196451">
              <w:rPr>
                <w:sz w:val="22"/>
                <w:szCs w:val="22"/>
              </w:rPr>
              <w:t>Based on technical specifications, at least 90% according to standard: EUR 25</w:t>
            </w:r>
            <w:r w:rsidR="008B4091">
              <w:rPr>
                <w:sz w:val="22"/>
                <w:szCs w:val="22"/>
              </w:rPr>
              <w:t xml:space="preserve"> </w:t>
            </w:r>
            <w:r w:rsidRPr="00196451">
              <w:rPr>
                <w:sz w:val="22"/>
                <w:szCs w:val="22"/>
              </w:rPr>
              <w:t>000</w:t>
            </w:r>
          </w:p>
          <w:p w14:paraId="3AE71C64" w14:textId="1D89820B" w:rsidR="009D30D6" w:rsidRPr="00196451" w:rsidRDefault="009D30D6" w:rsidP="00894E52">
            <w:pPr>
              <w:pStyle w:val="ListParagraph"/>
              <w:numPr>
                <w:ilvl w:val="0"/>
                <w:numId w:val="5"/>
              </w:numPr>
              <w:spacing w:before="100"/>
              <w:rPr>
                <w:sz w:val="22"/>
                <w:szCs w:val="22"/>
              </w:rPr>
            </w:pPr>
            <w:r w:rsidRPr="00196451">
              <w:rPr>
                <w:sz w:val="22"/>
                <w:szCs w:val="22"/>
              </w:rPr>
              <w:t>Based on technical specifications, at least 70% according to standard: EUR 20</w:t>
            </w:r>
            <w:r w:rsidR="008B4091">
              <w:rPr>
                <w:sz w:val="22"/>
                <w:szCs w:val="22"/>
              </w:rPr>
              <w:t xml:space="preserve"> </w:t>
            </w:r>
            <w:r w:rsidRPr="00196451">
              <w:rPr>
                <w:sz w:val="22"/>
                <w:szCs w:val="22"/>
              </w:rPr>
              <w:t>000</w:t>
            </w:r>
          </w:p>
          <w:p w14:paraId="475AAD16" w14:textId="3F4EA8E7" w:rsidR="009D30D6" w:rsidRPr="00196451" w:rsidRDefault="009D30D6" w:rsidP="00500791">
            <w:pPr>
              <w:pStyle w:val="ListParagraph"/>
              <w:numPr>
                <w:ilvl w:val="0"/>
                <w:numId w:val="5"/>
              </w:numPr>
              <w:spacing w:before="100"/>
              <w:rPr>
                <w:sz w:val="22"/>
                <w:szCs w:val="22"/>
              </w:rPr>
            </w:pPr>
            <w:r w:rsidRPr="00196451">
              <w:rPr>
                <w:sz w:val="22"/>
                <w:szCs w:val="22"/>
              </w:rPr>
              <w:t>Based on technical specifications, at least 50% according to standard: EUR 15</w:t>
            </w:r>
            <w:r w:rsidR="008B4091">
              <w:rPr>
                <w:sz w:val="22"/>
                <w:szCs w:val="22"/>
              </w:rPr>
              <w:t xml:space="preserve"> </w:t>
            </w:r>
            <w:r w:rsidRPr="00196451">
              <w:rPr>
                <w:sz w:val="22"/>
                <w:szCs w:val="22"/>
              </w:rPr>
              <w:t>000</w:t>
            </w:r>
          </w:p>
          <w:p w14:paraId="178C518C" w14:textId="5C8DA37D" w:rsidR="009D30D6" w:rsidRPr="00196451" w:rsidRDefault="009D30D6" w:rsidP="00FA0E60">
            <w:pPr>
              <w:pStyle w:val="ListParagraph"/>
              <w:numPr>
                <w:ilvl w:val="0"/>
                <w:numId w:val="5"/>
              </w:numPr>
              <w:spacing w:before="100"/>
              <w:rPr>
                <w:sz w:val="22"/>
                <w:szCs w:val="22"/>
              </w:rPr>
            </w:pPr>
            <w:r w:rsidRPr="00196451">
              <w:rPr>
                <w:sz w:val="22"/>
                <w:szCs w:val="22"/>
              </w:rPr>
              <w:t>Based on technical specifications, less than 50% according to standard: EUR 0</w:t>
            </w:r>
          </w:p>
        </w:tc>
      </w:tr>
      <w:tr w:rsidR="00222B22" w:rsidRPr="00A04CA2" w14:paraId="615CD6A6" w14:textId="77777777" w:rsidTr="0042690D">
        <w:tc>
          <w:tcPr>
            <w:tcW w:w="9016" w:type="dxa"/>
            <w:gridSpan w:val="2"/>
          </w:tcPr>
          <w:p w14:paraId="47E61913" w14:textId="2457F89C" w:rsidR="00222B22" w:rsidRPr="00196451" w:rsidRDefault="00222B22" w:rsidP="00222B22">
            <w:pPr>
              <w:pStyle w:val="ListParagraph"/>
              <w:spacing w:before="100"/>
              <w:ind w:left="0"/>
              <w:rPr>
                <w:sz w:val="22"/>
                <w:szCs w:val="22"/>
              </w:rPr>
            </w:pPr>
            <w:r w:rsidRPr="00196451">
              <w:rPr>
                <w:b/>
                <w:bCs/>
                <w:sz w:val="22"/>
                <w:szCs w:val="22"/>
              </w:rPr>
              <w:t xml:space="preserve">Output </w:t>
            </w:r>
            <w:r w:rsidR="009D30D6" w:rsidRPr="00196451">
              <w:rPr>
                <w:b/>
                <w:bCs/>
                <w:sz w:val="22"/>
                <w:szCs w:val="22"/>
              </w:rPr>
              <w:t>3</w:t>
            </w:r>
            <w:r w:rsidRPr="00196451">
              <w:rPr>
                <w:b/>
                <w:bCs/>
                <w:sz w:val="22"/>
                <w:szCs w:val="22"/>
              </w:rPr>
              <w:t xml:space="preserve">: </w:t>
            </w:r>
            <w:r w:rsidRPr="00196451">
              <w:rPr>
                <w:sz w:val="22"/>
                <w:szCs w:val="22"/>
              </w:rPr>
              <w:t xml:space="preserve">Third </w:t>
            </w:r>
            <w:r w:rsidR="0099196C">
              <w:rPr>
                <w:sz w:val="22"/>
                <w:szCs w:val="22"/>
              </w:rPr>
              <w:t>p</w:t>
            </w:r>
            <w:r w:rsidRPr="00196451">
              <w:rPr>
                <w:sz w:val="22"/>
                <w:szCs w:val="22"/>
              </w:rPr>
              <w:t xml:space="preserve">arty </w:t>
            </w:r>
            <w:r w:rsidR="0099196C">
              <w:rPr>
                <w:sz w:val="22"/>
                <w:szCs w:val="22"/>
              </w:rPr>
              <w:t>a</w:t>
            </w:r>
            <w:r w:rsidRPr="00196451">
              <w:rPr>
                <w:sz w:val="22"/>
                <w:szCs w:val="22"/>
              </w:rPr>
              <w:t>ssessment</w:t>
            </w:r>
            <w:r w:rsidR="006C735D" w:rsidRPr="00196451">
              <w:rPr>
                <w:rStyle w:val="FootnoteReference"/>
                <w:sz w:val="22"/>
                <w:szCs w:val="22"/>
              </w:rPr>
              <w:footnoteReference w:id="5"/>
            </w:r>
          </w:p>
        </w:tc>
      </w:tr>
      <w:tr w:rsidR="00222B22" w:rsidRPr="00A04CA2" w14:paraId="52F5EAA9" w14:textId="77777777" w:rsidTr="0042690D">
        <w:tc>
          <w:tcPr>
            <w:tcW w:w="2675" w:type="dxa"/>
          </w:tcPr>
          <w:p w14:paraId="41A39BF6" w14:textId="3ECC8F10" w:rsidR="00222B22" w:rsidRPr="00196451" w:rsidRDefault="00222B22" w:rsidP="00222B22">
            <w:pPr>
              <w:tabs>
                <w:tab w:val="left" w:pos="426"/>
              </w:tabs>
              <w:spacing w:before="100"/>
              <w:contextualSpacing/>
              <w:rPr>
                <w:sz w:val="22"/>
                <w:szCs w:val="22"/>
                <w:highlight w:val="yellow"/>
              </w:rPr>
            </w:pPr>
            <w:r w:rsidRPr="00196451">
              <w:rPr>
                <w:sz w:val="22"/>
                <w:szCs w:val="22"/>
                <w:u w:val="single"/>
              </w:rPr>
              <w:t>Indicator</w:t>
            </w:r>
            <w:r w:rsidRPr="00196451">
              <w:rPr>
                <w:sz w:val="22"/>
                <w:szCs w:val="22"/>
              </w:rPr>
              <w:t xml:space="preserve"> </w:t>
            </w:r>
            <w:r w:rsidR="00650F88" w:rsidRPr="00196451">
              <w:rPr>
                <w:sz w:val="22"/>
                <w:szCs w:val="22"/>
              </w:rPr>
              <w:t xml:space="preserve">1 </w:t>
            </w:r>
            <w:r w:rsidRPr="00196451">
              <w:rPr>
                <w:sz w:val="22"/>
                <w:szCs w:val="22"/>
              </w:rPr>
              <w:t xml:space="preserve">to output </w:t>
            </w:r>
            <w:r w:rsidR="00650F88" w:rsidRPr="00196451">
              <w:rPr>
                <w:sz w:val="22"/>
                <w:szCs w:val="22"/>
              </w:rPr>
              <w:t>3</w:t>
            </w:r>
          </w:p>
        </w:tc>
        <w:tc>
          <w:tcPr>
            <w:tcW w:w="6341" w:type="dxa"/>
          </w:tcPr>
          <w:p w14:paraId="3CA2F74C" w14:textId="5820FF04" w:rsidR="00222B22" w:rsidRPr="00196451" w:rsidRDefault="00650F88" w:rsidP="00A04CA2">
            <w:pPr>
              <w:pStyle w:val="ListParagraph"/>
              <w:spacing w:before="100"/>
              <w:ind w:left="0"/>
              <w:rPr>
                <w:sz w:val="22"/>
                <w:szCs w:val="22"/>
              </w:rPr>
            </w:pPr>
            <w:r w:rsidRPr="00196451">
              <w:rPr>
                <w:sz w:val="22"/>
                <w:szCs w:val="22"/>
              </w:rPr>
              <w:t xml:space="preserve">3.1 - Third </w:t>
            </w:r>
            <w:r w:rsidR="00A2244A">
              <w:rPr>
                <w:sz w:val="22"/>
                <w:szCs w:val="22"/>
              </w:rPr>
              <w:t>p</w:t>
            </w:r>
            <w:r w:rsidRPr="00196451">
              <w:rPr>
                <w:sz w:val="22"/>
                <w:szCs w:val="22"/>
              </w:rPr>
              <w:t xml:space="preserve">arty </w:t>
            </w:r>
            <w:r w:rsidR="00A2244A">
              <w:rPr>
                <w:sz w:val="22"/>
                <w:szCs w:val="22"/>
              </w:rPr>
              <w:t>a</w:t>
            </w:r>
            <w:r w:rsidRPr="00196451">
              <w:rPr>
                <w:sz w:val="22"/>
                <w:szCs w:val="22"/>
              </w:rPr>
              <w:t>ssessment</w:t>
            </w:r>
          </w:p>
        </w:tc>
      </w:tr>
      <w:tr w:rsidR="00222B22" w:rsidRPr="00A04CA2" w14:paraId="1E5F9DB1" w14:textId="77777777" w:rsidTr="0042690D">
        <w:tc>
          <w:tcPr>
            <w:tcW w:w="2675" w:type="dxa"/>
          </w:tcPr>
          <w:p w14:paraId="3F383D3F" w14:textId="77777777" w:rsidR="00222B22" w:rsidRPr="00196451" w:rsidRDefault="00222B22" w:rsidP="00222B22">
            <w:pPr>
              <w:tabs>
                <w:tab w:val="left" w:pos="426"/>
              </w:tabs>
              <w:spacing w:before="100"/>
              <w:contextualSpacing/>
              <w:rPr>
                <w:sz w:val="22"/>
                <w:szCs w:val="22"/>
                <w:highlight w:val="yellow"/>
              </w:rPr>
            </w:pPr>
            <w:r w:rsidRPr="00196451">
              <w:rPr>
                <w:sz w:val="22"/>
                <w:szCs w:val="22"/>
              </w:rPr>
              <w:t xml:space="preserve">Indicator </w:t>
            </w:r>
            <w:r w:rsidRPr="00196451">
              <w:rPr>
                <w:sz w:val="22"/>
                <w:szCs w:val="22"/>
                <w:u w:val="single"/>
              </w:rPr>
              <w:t>target</w:t>
            </w:r>
            <w:r w:rsidRPr="00196451">
              <w:rPr>
                <w:sz w:val="22"/>
                <w:szCs w:val="22"/>
              </w:rPr>
              <w:t xml:space="preserve"> with </w:t>
            </w:r>
            <w:r w:rsidRPr="00196451">
              <w:rPr>
                <w:sz w:val="22"/>
                <w:szCs w:val="22"/>
                <w:u w:val="single"/>
              </w:rPr>
              <w:t>year</w:t>
            </w:r>
          </w:p>
        </w:tc>
        <w:tc>
          <w:tcPr>
            <w:tcW w:w="6341" w:type="dxa"/>
          </w:tcPr>
          <w:p w14:paraId="6B044889" w14:textId="423C5CA2" w:rsidR="00222B22" w:rsidRPr="00196451" w:rsidRDefault="00C74A7A" w:rsidP="00EC4845">
            <w:pPr>
              <w:pStyle w:val="ListParagraph"/>
              <w:spacing w:before="100"/>
              <w:ind w:left="0"/>
              <w:rPr>
                <w:sz w:val="22"/>
                <w:szCs w:val="22"/>
              </w:rPr>
            </w:pPr>
            <w:r w:rsidRPr="00196451">
              <w:rPr>
                <w:sz w:val="22"/>
                <w:szCs w:val="22"/>
              </w:rPr>
              <w:t>One (1) by 2027</w:t>
            </w:r>
          </w:p>
        </w:tc>
      </w:tr>
      <w:tr w:rsidR="00222B22" w:rsidRPr="00A04CA2" w14:paraId="2F4B2BE1" w14:textId="77777777" w:rsidTr="0042690D">
        <w:tc>
          <w:tcPr>
            <w:tcW w:w="2675" w:type="dxa"/>
          </w:tcPr>
          <w:p w14:paraId="553154C2" w14:textId="77777777" w:rsidR="00222B22" w:rsidRPr="00196451" w:rsidRDefault="00222B22" w:rsidP="00222B22">
            <w:pPr>
              <w:tabs>
                <w:tab w:val="left" w:pos="426"/>
              </w:tabs>
              <w:spacing w:before="100"/>
              <w:contextualSpacing/>
              <w:rPr>
                <w:sz w:val="22"/>
                <w:szCs w:val="22"/>
                <w:highlight w:val="yellow"/>
              </w:rPr>
            </w:pPr>
            <w:r w:rsidRPr="00196451">
              <w:rPr>
                <w:sz w:val="22"/>
                <w:szCs w:val="22"/>
              </w:rPr>
              <w:t>Sources of data for the values of the indicator</w:t>
            </w:r>
          </w:p>
        </w:tc>
        <w:tc>
          <w:tcPr>
            <w:tcW w:w="6341" w:type="dxa"/>
          </w:tcPr>
          <w:p w14:paraId="608D7EED" w14:textId="7523CBA8" w:rsidR="00222B22" w:rsidRPr="00196451" w:rsidRDefault="00FC7FCD" w:rsidP="00222B22">
            <w:pPr>
              <w:pStyle w:val="ListParagraph"/>
              <w:spacing w:before="100"/>
              <w:ind w:left="0"/>
              <w:rPr>
                <w:sz w:val="22"/>
                <w:szCs w:val="22"/>
              </w:rPr>
            </w:pPr>
            <w:r w:rsidRPr="00196451">
              <w:rPr>
                <w:sz w:val="22"/>
                <w:szCs w:val="22"/>
              </w:rPr>
              <w:t>Third party assessment report</w:t>
            </w:r>
          </w:p>
        </w:tc>
      </w:tr>
      <w:tr w:rsidR="00FC7FCD" w:rsidRPr="00A04CA2" w14:paraId="27AF06F8" w14:textId="77777777" w:rsidTr="0042690D">
        <w:tc>
          <w:tcPr>
            <w:tcW w:w="2675" w:type="dxa"/>
          </w:tcPr>
          <w:p w14:paraId="39C1C0D0" w14:textId="374E8E1A" w:rsidR="00FC7FCD" w:rsidRPr="00196451" w:rsidRDefault="00FC7FCD" w:rsidP="00FC7FCD">
            <w:pPr>
              <w:tabs>
                <w:tab w:val="left" w:pos="426"/>
              </w:tabs>
              <w:spacing w:before="100"/>
              <w:contextualSpacing/>
              <w:rPr>
                <w:sz w:val="22"/>
                <w:szCs w:val="22"/>
              </w:rPr>
            </w:pPr>
            <w:r w:rsidRPr="00196451">
              <w:rPr>
                <w:sz w:val="22"/>
                <w:szCs w:val="22"/>
              </w:rPr>
              <w:t>Financing not linked to costs</w:t>
            </w:r>
          </w:p>
        </w:tc>
        <w:tc>
          <w:tcPr>
            <w:tcW w:w="6341" w:type="dxa"/>
          </w:tcPr>
          <w:p w14:paraId="590ECBD8" w14:textId="04E41745" w:rsidR="00FC7FCD" w:rsidRPr="00196451" w:rsidRDefault="00FC7FCD" w:rsidP="00FC7FCD">
            <w:pPr>
              <w:pStyle w:val="ListParagraph"/>
              <w:spacing w:before="100"/>
              <w:ind w:left="0"/>
              <w:rPr>
                <w:sz w:val="22"/>
                <w:szCs w:val="22"/>
              </w:rPr>
            </w:pPr>
            <w:r w:rsidRPr="00196451">
              <w:rPr>
                <w:sz w:val="22"/>
                <w:szCs w:val="22"/>
              </w:rPr>
              <w:t>Maximum EU contribution for indicator 3.1: EUR 3</w:t>
            </w:r>
            <w:r w:rsidR="008B4091">
              <w:rPr>
                <w:sz w:val="22"/>
                <w:szCs w:val="22"/>
              </w:rPr>
              <w:t xml:space="preserve"> </w:t>
            </w:r>
            <w:r w:rsidRPr="00196451">
              <w:rPr>
                <w:sz w:val="22"/>
                <w:szCs w:val="22"/>
              </w:rPr>
              <w:t>000</w:t>
            </w:r>
          </w:p>
        </w:tc>
      </w:tr>
    </w:tbl>
    <w:p w14:paraId="3E50CA5D" w14:textId="77777777" w:rsidR="00F16216" w:rsidRDefault="00F16216" w:rsidP="0018361D"/>
    <w:p w14:paraId="1BAE6154" w14:textId="366DC6B6" w:rsidR="008C4697" w:rsidRDefault="008C4697" w:rsidP="008C4697">
      <w:pPr>
        <w:tabs>
          <w:tab w:val="left" w:pos="426"/>
        </w:tabs>
        <w:spacing w:before="120" w:after="0" w:line="240" w:lineRule="auto"/>
      </w:pPr>
      <w:r>
        <w:rPr>
          <w:u w:val="single"/>
        </w:rPr>
        <w:t xml:space="preserve">The example below </w:t>
      </w:r>
      <w:r w:rsidR="008B23B7">
        <w:rPr>
          <w:u w:val="single"/>
        </w:rPr>
        <w:t>reproduces</w:t>
      </w:r>
      <w:r>
        <w:rPr>
          <w:u w:val="single"/>
        </w:rPr>
        <w:t xml:space="preserve"> the</w:t>
      </w:r>
      <w:r>
        <w:t xml:space="preserve"> table for the </w:t>
      </w:r>
      <w:r w:rsidR="00607FCC">
        <w:t>outcomes</w:t>
      </w:r>
      <w:r>
        <w:t>, that could also include FNLC features.</w:t>
      </w:r>
    </w:p>
    <w:p w14:paraId="0BD89468" w14:textId="77777777" w:rsidR="008C4697" w:rsidRDefault="008C4697" w:rsidP="008C4697">
      <w:pPr>
        <w:pBdr>
          <w:top w:val="single" w:sz="4" w:space="1" w:color="auto"/>
          <w:left w:val="single" w:sz="4" w:space="4" w:color="auto"/>
          <w:bottom w:val="single" w:sz="4" w:space="1" w:color="auto"/>
          <w:right w:val="single" w:sz="4" w:space="4" w:color="auto"/>
        </w:pBdr>
      </w:pPr>
      <w:r>
        <w:t xml:space="preserve">Disclaimer: the examples provided are meant to show the consistency between the </w:t>
      </w:r>
      <w:proofErr w:type="spellStart"/>
      <w:r>
        <w:t>Logframe</w:t>
      </w:r>
      <w:proofErr w:type="spellEnd"/>
      <w:r>
        <w:t xml:space="preserve">, the budget, and the application form narrative section. They are </w:t>
      </w:r>
      <w:r w:rsidRPr="00CE2D8E">
        <w:rPr>
          <w:b/>
          <w:bCs/>
          <w:u w:val="single"/>
        </w:rPr>
        <w:t>fictitious</w:t>
      </w:r>
      <w:r>
        <w:t xml:space="preserve"> and </w:t>
      </w:r>
      <w:r w:rsidRPr="009B3217">
        <w:rPr>
          <w:b/>
          <w:bCs/>
          <w:u w:val="single"/>
        </w:rPr>
        <w:t>figures are made up</w:t>
      </w:r>
      <w:r>
        <w:t xml:space="preserve">. </w:t>
      </w:r>
    </w:p>
    <w:p w14:paraId="772BBAF0" w14:textId="77777777" w:rsidR="0018361D" w:rsidRDefault="0018361D" w:rsidP="001836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6425"/>
      </w:tblGrid>
      <w:tr w:rsidR="0018361D" w14:paraId="50A78E89" w14:textId="77777777" w:rsidTr="00792D5B">
        <w:trPr>
          <w:tblHeader/>
        </w:trPr>
        <w:tc>
          <w:tcPr>
            <w:tcW w:w="9016" w:type="dxa"/>
            <w:gridSpan w:val="2"/>
            <w:shd w:val="clear" w:color="auto" w:fill="auto"/>
          </w:tcPr>
          <w:p w14:paraId="5BB52DB6" w14:textId="77777777" w:rsidR="0018361D" w:rsidRPr="00DD0B48" w:rsidRDefault="0018361D" w:rsidP="002D7BF8">
            <w:pPr>
              <w:tabs>
                <w:tab w:val="left" w:pos="426"/>
              </w:tabs>
              <w:spacing w:before="100"/>
              <w:contextualSpacing/>
              <w:jc w:val="center"/>
              <w:rPr>
                <w:highlight w:val="yellow"/>
              </w:rPr>
            </w:pPr>
            <w:r w:rsidRPr="00DD0B48">
              <w:rPr>
                <w:b/>
                <w:bCs/>
              </w:rPr>
              <w:t>OUTCOMES</w:t>
            </w:r>
          </w:p>
        </w:tc>
      </w:tr>
      <w:tr w:rsidR="0018361D" w:rsidDel="00E705CC" w14:paraId="64A186BF" w14:textId="77777777" w:rsidTr="00792D5B">
        <w:tc>
          <w:tcPr>
            <w:tcW w:w="9016" w:type="dxa"/>
            <w:gridSpan w:val="2"/>
            <w:shd w:val="clear" w:color="auto" w:fill="auto"/>
          </w:tcPr>
          <w:p w14:paraId="4713FB6E" w14:textId="57B2936A" w:rsidR="0018361D" w:rsidRPr="00DD0B48" w:rsidDel="00E705CC" w:rsidRDefault="0018361D" w:rsidP="002D7BF8">
            <w:pPr>
              <w:tabs>
                <w:tab w:val="left" w:pos="426"/>
              </w:tabs>
              <w:spacing w:before="100"/>
              <w:contextualSpacing/>
              <w:rPr>
                <w:highlight w:val="yellow"/>
              </w:rPr>
            </w:pPr>
            <w:r w:rsidRPr="00DD0B48">
              <w:rPr>
                <w:b/>
                <w:bCs/>
              </w:rPr>
              <w:t>Outcome 1</w:t>
            </w:r>
            <w:r w:rsidRPr="00DD0B48">
              <w:t xml:space="preserve">: </w:t>
            </w:r>
            <w:r w:rsidR="004B2073" w:rsidRPr="00DD0B48">
              <w:t>Broad-based stakeholder participation in the development of the energy sector policy and regulatory framework is established</w:t>
            </w:r>
          </w:p>
        </w:tc>
      </w:tr>
      <w:tr w:rsidR="0018361D" w14:paraId="63CC20E0" w14:textId="77777777" w:rsidTr="00792D5B">
        <w:tc>
          <w:tcPr>
            <w:tcW w:w="2591" w:type="dxa"/>
            <w:shd w:val="clear" w:color="auto" w:fill="auto"/>
          </w:tcPr>
          <w:p w14:paraId="23BB3AC9" w14:textId="77777777" w:rsidR="0018361D" w:rsidRPr="00DD0B48" w:rsidRDefault="0018361D" w:rsidP="002D7BF8">
            <w:pPr>
              <w:tabs>
                <w:tab w:val="left" w:pos="426"/>
              </w:tabs>
              <w:spacing w:before="100"/>
              <w:contextualSpacing/>
            </w:pPr>
            <w:r w:rsidRPr="00DD0B48">
              <w:rPr>
                <w:u w:val="single"/>
              </w:rPr>
              <w:t>Indicator 1</w:t>
            </w:r>
            <w:r w:rsidRPr="00DD0B48">
              <w:t xml:space="preserve"> to outcome 1</w:t>
            </w:r>
          </w:p>
        </w:tc>
        <w:tc>
          <w:tcPr>
            <w:tcW w:w="6425" w:type="dxa"/>
            <w:shd w:val="clear" w:color="auto" w:fill="auto"/>
          </w:tcPr>
          <w:p w14:paraId="60CAEBFD" w14:textId="0B5B9AE9" w:rsidR="0018361D" w:rsidRPr="00DD0B48" w:rsidRDefault="0085554A" w:rsidP="002D7BF8">
            <w:pPr>
              <w:tabs>
                <w:tab w:val="left" w:pos="426"/>
              </w:tabs>
              <w:spacing w:before="100"/>
              <w:contextualSpacing/>
              <w:rPr>
                <w:highlight w:val="yellow"/>
              </w:rPr>
            </w:pPr>
            <w:r w:rsidRPr="00DD0B48">
              <w:t>1.1 Extent to which mechanism for coordination, collaboration and dialogue among different actors involved in the energy sector is effective.</w:t>
            </w:r>
          </w:p>
        </w:tc>
      </w:tr>
      <w:tr w:rsidR="0018361D" w14:paraId="161C1449" w14:textId="77777777" w:rsidTr="00792D5B">
        <w:tc>
          <w:tcPr>
            <w:tcW w:w="2591" w:type="dxa"/>
            <w:shd w:val="clear" w:color="auto" w:fill="auto"/>
          </w:tcPr>
          <w:p w14:paraId="291614A8" w14:textId="77777777" w:rsidR="0018361D" w:rsidRPr="00DD0B48" w:rsidRDefault="0018361D" w:rsidP="002D7BF8">
            <w:pPr>
              <w:tabs>
                <w:tab w:val="left" w:pos="426"/>
              </w:tabs>
              <w:spacing w:before="100"/>
              <w:contextualSpacing/>
            </w:pPr>
            <w:r w:rsidRPr="00DD0B48">
              <w:t xml:space="preserve">Indicator 1 </w:t>
            </w:r>
            <w:r w:rsidRPr="00DD0B48">
              <w:rPr>
                <w:u w:val="single"/>
              </w:rPr>
              <w:t>target</w:t>
            </w:r>
            <w:r w:rsidRPr="00DD0B48">
              <w:t xml:space="preserve"> with </w:t>
            </w:r>
            <w:r w:rsidRPr="00DD0B48">
              <w:rPr>
                <w:u w:val="single"/>
              </w:rPr>
              <w:t>year</w:t>
            </w:r>
          </w:p>
        </w:tc>
        <w:tc>
          <w:tcPr>
            <w:tcW w:w="6425" w:type="dxa"/>
            <w:shd w:val="clear" w:color="auto" w:fill="auto"/>
          </w:tcPr>
          <w:p w14:paraId="4F233E5B" w14:textId="12957C4C" w:rsidR="0018361D" w:rsidRPr="00DD0B48" w:rsidRDefault="00D30710" w:rsidP="002D7BF8">
            <w:pPr>
              <w:tabs>
                <w:tab w:val="left" w:pos="426"/>
              </w:tabs>
              <w:spacing w:before="100"/>
              <w:contextualSpacing/>
              <w:rPr>
                <w:highlight w:val="yellow"/>
              </w:rPr>
            </w:pPr>
            <w:r w:rsidRPr="00DD0B48">
              <w:t>To significant extent by 2027</w:t>
            </w:r>
          </w:p>
        </w:tc>
      </w:tr>
      <w:tr w:rsidR="0018361D" w14:paraId="4FB7A922" w14:textId="77777777" w:rsidTr="00792D5B">
        <w:trPr>
          <w:trHeight w:val="589"/>
        </w:trPr>
        <w:tc>
          <w:tcPr>
            <w:tcW w:w="2591" w:type="dxa"/>
            <w:vMerge w:val="restart"/>
            <w:shd w:val="clear" w:color="auto" w:fill="auto"/>
          </w:tcPr>
          <w:p w14:paraId="4E42E539" w14:textId="77777777" w:rsidR="0018361D" w:rsidRPr="00DD0B48" w:rsidRDefault="0018361D" w:rsidP="002D7BF8">
            <w:pPr>
              <w:tabs>
                <w:tab w:val="left" w:pos="426"/>
              </w:tabs>
              <w:spacing w:before="100"/>
              <w:contextualSpacing/>
            </w:pPr>
            <w:r w:rsidRPr="00DD0B48">
              <w:t>Sources of data for the values of the indicator</w:t>
            </w:r>
          </w:p>
        </w:tc>
        <w:tc>
          <w:tcPr>
            <w:tcW w:w="6425" w:type="dxa"/>
            <w:shd w:val="clear" w:color="auto" w:fill="auto"/>
          </w:tcPr>
          <w:p w14:paraId="35320E9E" w14:textId="77777777" w:rsidR="00D30710" w:rsidRPr="00DD0B48" w:rsidRDefault="00D30710" w:rsidP="00D30710">
            <w:pPr>
              <w:spacing w:before="100"/>
            </w:pPr>
            <w:r w:rsidRPr="00DD0B48">
              <w:t>Stakeholder surveys including government bodies, donors, private sector, CSOs, academia.</w:t>
            </w:r>
          </w:p>
          <w:p w14:paraId="77609817" w14:textId="5C679631" w:rsidR="0018361D" w:rsidRPr="00DD0B48" w:rsidRDefault="00D30710" w:rsidP="00D30710">
            <w:pPr>
              <w:pStyle w:val="ListParagraph"/>
              <w:spacing w:before="100"/>
              <w:ind w:left="0"/>
              <w:rPr>
                <w:highlight w:val="yellow"/>
              </w:rPr>
            </w:pPr>
            <w:r w:rsidRPr="00DD0B48">
              <w:t>Surveys to be designed and conducted by Technical Assistance</w:t>
            </w:r>
          </w:p>
        </w:tc>
      </w:tr>
      <w:tr w:rsidR="0018361D" w14:paraId="6B36548A" w14:textId="77777777" w:rsidTr="00792D5B">
        <w:trPr>
          <w:trHeight w:val="588"/>
        </w:trPr>
        <w:tc>
          <w:tcPr>
            <w:tcW w:w="2591" w:type="dxa"/>
            <w:vMerge/>
            <w:shd w:val="clear" w:color="auto" w:fill="auto"/>
          </w:tcPr>
          <w:p w14:paraId="53E06414" w14:textId="77777777" w:rsidR="0018361D" w:rsidRPr="00DD0B48" w:rsidRDefault="0018361D" w:rsidP="002D7BF8">
            <w:pPr>
              <w:tabs>
                <w:tab w:val="left" w:pos="426"/>
              </w:tabs>
              <w:spacing w:before="100"/>
              <w:contextualSpacing/>
            </w:pPr>
          </w:p>
        </w:tc>
        <w:tc>
          <w:tcPr>
            <w:tcW w:w="6425" w:type="dxa"/>
            <w:shd w:val="clear" w:color="auto" w:fill="auto"/>
          </w:tcPr>
          <w:p w14:paraId="20006377" w14:textId="0616BCF8" w:rsidR="008D258B" w:rsidRPr="00DD0B48" w:rsidRDefault="0004296F" w:rsidP="002D7BF8">
            <w:pPr>
              <w:pStyle w:val="ListParagraph"/>
              <w:spacing w:before="100"/>
              <w:ind w:left="0"/>
              <w:rPr>
                <w:color w:val="FF0000"/>
              </w:rPr>
            </w:pPr>
            <w:r w:rsidRPr="0004296F">
              <w:rPr>
                <w:color w:val="FF0000"/>
              </w:rPr>
              <w:t xml:space="preserve">For the purpose of this example in </w:t>
            </w:r>
            <w:r w:rsidR="008B4091">
              <w:rPr>
                <w:color w:val="FF0000"/>
              </w:rPr>
              <w:t>A</w:t>
            </w:r>
            <w:r w:rsidRPr="0004296F">
              <w:rPr>
                <w:color w:val="FF0000"/>
              </w:rPr>
              <w:t xml:space="preserve">nnex K, this row </w:t>
            </w:r>
            <w:r>
              <w:rPr>
                <w:color w:val="FF0000"/>
              </w:rPr>
              <w:t>is t</w:t>
            </w:r>
            <w:r w:rsidR="008D258B" w:rsidRPr="00DD0B48">
              <w:rPr>
                <w:color w:val="FF0000"/>
              </w:rPr>
              <w:t xml:space="preserve">o be deleted by the </w:t>
            </w:r>
            <w:r w:rsidR="00B547E2">
              <w:rPr>
                <w:color w:val="FF0000"/>
              </w:rPr>
              <w:t xml:space="preserve">applicant </w:t>
            </w:r>
            <w:r w:rsidR="008D258B" w:rsidRPr="00DD0B48">
              <w:rPr>
                <w:color w:val="FF0000"/>
              </w:rPr>
              <w:t xml:space="preserve">as </w:t>
            </w:r>
            <w:r>
              <w:rPr>
                <w:color w:val="FF0000"/>
              </w:rPr>
              <w:t xml:space="preserve">there is no need to have </w:t>
            </w:r>
            <w:r w:rsidR="00D4005D">
              <w:rPr>
                <w:color w:val="FF0000"/>
              </w:rPr>
              <w:t>further specifications/</w:t>
            </w:r>
            <w:proofErr w:type="gramStart"/>
            <w:r w:rsidR="00D4005D">
              <w:rPr>
                <w:color w:val="FF0000"/>
              </w:rPr>
              <w:t>standards</w:t>
            </w:r>
            <w:proofErr w:type="gramEnd"/>
          </w:p>
          <w:p w14:paraId="626C2E3A" w14:textId="08BB999A" w:rsidR="0018361D" w:rsidRPr="00DD0B48" w:rsidRDefault="0018361D" w:rsidP="002D7BF8">
            <w:pPr>
              <w:pStyle w:val="ListParagraph"/>
              <w:spacing w:before="100"/>
              <w:ind w:left="0"/>
              <w:rPr>
                <w:highlight w:val="yellow"/>
              </w:rPr>
            </w:pPr>
            <w:r w:rsidRPr="00DD0B48">
              <w:rPr>
                <w:highlight w:val="yellow"/>
              </w:rPr>
              <w:t>&lt; If relevant: technical specifications/standards to describe the indicator (in Appendixes if needed because of complexity of the indicator) &gt;</w:t>
            </w:r>
          </w:p>
        </w:tc>
      </w:tr>
      <w:tr w:rsidR="0018361D" w14:paraId="1D179D47" w14:textId="77777777" w:rsidTr="00792D5B">
        <w:trPr>
          <w:trHeight w:val="843"/>
        </w:trPr>
        <w:tc>
          <w:tcPr>
            <w:tcW w:w="2591" w:type="dxa"/>
            <w:vMerge w:val="restart"/>
            <w:shd w:val="clear" w:color="auto" w:fill="auto"/>
          </w:tcPr>
          <w:p w14:paraId="1E561A6F" w14:textId="77777777" w:rsidR="0018361D" w:rsidRPr="00DD0B48" w:rsidRDefault="0018361D" w:rsidP="002D7BF8">
            <w:pPr>
              <w:tabs>
                <w:tab w:val="left" w:pos="426"/>
              </w:tabs>
              <w:spacing w:before="100"/>
              <w:contextualSpacing/>
              <w:rPr>
                <w:highlight w:val="lightGray"/>
              </w:rPr>
            </w:pPr>
            <w:r w:rsidRPr="00DD0B48">
              <w:lastRenderedPageBreak/>
              <w:t xml:space="preserve">Financing not linked to costs </w:t>
            </w:r>
            <w:r w:rsidRPr="00DD0B48">
              <w:rPr>
                <w:i/>
                <w:iCs/>
                <w:color w:val="FF0000"/>
              </w:rPr>
              <w:t>(Please remove this row for indicator 1 if financing not linked to costs is not authorised in this call)</w:t>
            </w:r>
          </w:p>
        </w:tc>
        <w:tc>
          <w:tcPr>
            <w:tcW w:w="6425" w:type="dxa"/>
            <w:shd w:val="clear" w:color="auto" w:fill="auto"/>
          </w:tcPr>
          <w:p w14:paraId="1B39F59C" w14:textId="064D6F47" w:rsidR="008D258B" w:rsidRPr="00DD0B48" w:rsidRDefault="002C48FC" w:rsidP="008D258B">
            <w:pPr>
              <w:pStyle w:val="ListParagraph"/>
              <w:spacing w:before="100"/>
              <w:ind w:left="0"/>
              <w:rPr>
                <w:color w:val="FF0000"/>
              </w:rPr>
            </w:pPr>
            <w:proofErr w:type="gramStart"/>
            <w:r>
              <w:rPr>
                <w:color w:val="FF0000"/>
              </w:rPr>
              <w:t>For the purpose of</w:t>
            </w:r>
            <w:proofErr w:type="gramEnd"/>
            <w:r>
              <w:rPr>
                <w:color w:val="FF0000"/>
              </w:rPr>
              <w:t xml:space="preserve"> this example in </w:t>
            </w:r>
            <w:r w:rsidR="008B4091">
              <w:rPr>
                <w:color w:val="FF0000"/>
              </w:rPr>
              <w:t>A</w:t>
            </w:r>
            <w:r>
              <w:rPr>
                <w:color w:val="FF0000"/>
              </w:rPr>
              <w:t>nnex K, this row on FNLC is to</w:t>
            </w:r>
            <w:r w:rsidR="008D258B" w:rsidRPr="00DD0B48">
              <w:rPr>
                <w:color w:val="FF0000"/>
              </w:rPr>
              <w:t xml:space="preserve"> be deleted by the </w:t>
            </w:r>
            <w:r w:rsidR="00B547E2">
              <w:rPr>
                <w:color w:val="FF0000"/>
              </w:rPr>
              <w:t xml:space="preserve">applicant </w:t>
            </w:r>
            <w:r w:rsidR="008D258B" w:rsidRPr="00DD0B48">
              <w:rPr>
                <w:color w:val="FF0000"/>
              </w:rPr>
              <w:t xml:space="preserve">as this indicator </w:t>
            </w:r>
            <w:r w:rsidR="008476B3">
              <w:rPr>
                <w:color w:val="FF0000"/>
              </w:rPr>
              <w:t>is</w:t>
            </w:r>
            <w:r w:rsidR="008476B3" w:rsidRPr="00DD0B48">
              <w:rPr>
                <w:color w:val="FF0000"/>
              </w:rPr>
              <w:t xml:space="preserve"> </w:t>
            </w:r>
            <w:r w:rsidR="008D258B" w:rsidRPr="00DD0B48">
              <w:rPr>
                <w:color w:val="FF0000"/>
              </w:rPr>
              <w:t xml:space="preserve">not </w:t>
            </w:r>
            <w:r w:rsidR="006947D9" w:rsidRPr="00DD0B48">
              <w:rPr>
                <w:color w:val="FF0000"/>
              </w:rPr>
              <w:t xml:space="preserve">selected for FNLC, but still </w:t>
            </w:r>
            <w:r>
              <w:rPr>
                <w:color w:val="FF0000"/>
              </w:rPr>
              <w:t xml:space="preserve">to be part of the </w:t>
            </w:r>
            <w:proofErr w:type="spellStart"/>
            <w:r>
              <w:rPr>
                <w:color w:val="FF0000"/>
              </w:rPr>
              <w:t>Logframe</w:t>
            </w:r>
            <w:proofErr w:type="spellEnd"/>
            <w:r>
              <w:rPr>
                <w:color w:val="FF0000"/>
              </w:rPr>
              <w:t xml:space="preserve"> for monitoring and reporting purposes.</w:t>
            </w:r>
          </w:p>
          <w:p w14:paraId="14D3C504" w14:textId="77777777" w:rsidR="008D258B" w:rsidRPr="00DD0B48" w:rsidRDefault="008D258B" w:rsidP="002D7BF8">
            <w:pPr>
              <w:pStyle w:val="ListParagraph"/>
              <w:spacing w:before="100"/>
              <w:ind w:left="0"/>
            </w:pPr>
          </w:p>
          <w:p w14:paraId="6840E82B" w14:textId="1AB109DB" w:rsidR="0018361D" w:rsidRPr="00DD0B48" w:rsidRDefault="0018361D" w:rsidP="002D7BF8">
            <w:pPr>
              <w:pStyle w:val="ListParagraph"/>
              <w:spacing w:before="100"/>
              <w:ind w:left="0"/>
              <w:rPr>
                <w:highlight w:val="lightGray"/>
              </w:rPr>
            </w:pPr>
            <w:r w:rsidRPr="00DD0B48">
              <w:t>In case the indicator is used for financing not linked to costs in the budget, please clarify the maximum amount that correspond to indicator 1</w:t>
            </w:r>
          </w:p>
        </w:tc>
      </w:tr>
      <w:tr w:rsidR="0018361D" w14:paraId="15265778" w14:textId="77777777" w:rsidTr="00DD0B48">
        <w:trPr>
          <w:trHeight w:val="405"/>
        </w:trPr>
        <w:tc>
          <w:tcPr>
            <w:tcW w:w="2591" w:type="dxa"/>
            <w:vMerge/>
            <w:shd w:val="clear" w:color="auto" w:fill="auto"/>
          </w:tcPr>
          <w:p w14:paraId="2DF97699" w14:textId="77777777" w:rsidR="0018361D" w:rsidRPr="00DD0B48" w:rsidRDefault="0018361D" w:rsidP="002D7BF8">
            <w:pPr>
              <w:tabs>
                <w:tab w:val="left" w:pos="426"/>
              </w:tabs>
              <w:spacing w:before="100"/>
              <w:contextualSpacing/>
              <w:rPr>
                <w:highlight w:val="lightGray"/>
              </w:rPr>
            </w:pPr>
          </w:p>
        </w:tc>
        <w:tc>
          <w:tcPr>
            <w:tcW w:w="6425" w:type="dxa"/>
            <w:shd w:val="clear" w:color="auto" w:fill="auto"/>
          </w:tcPr>
          <w:p w14:paraId="5647A233" w14:textId="77777777" w:rsidR="0018361D" w:rsidRPr="00DD0B48" w:rsidRDefault="0018361D" w:rsidP="002D7BF8">
            <w:pPr>
              <w:pStyle w:val="ListParagraph"/>
              <w:spacing w:before="100"/>
              <w:ind w:left="0"/>
              <w:rPr>
                <w:highlight w:val="lightGray"/>
              </w:rPr>
            </w:pPr>
            <w:r w:rsidRPr="00DD0B48">
              <w:t>Please clarify the amounts linked to partial achievement</w:t>
            </w:r>
          </w:p>
        </w:tc>
      </w:tr>
      <w:tr w:rsidR="00792D5B" w14:paraId="4EE93FC2" w14:textId="77777777">
        <w:tc>
          <w:tcPr>
            <w:tcW w:w="9016" w:type="dxa"/>
            <w:gridSpan w:val="2"/>
            <w:shd w:val="clear" w:color="auto" w:fill="auto"/>
          </w:tcPr>
          <w:p w14:paraId="51DE0EC3" w14:textId="2E499F5A" w:rsidR="00792D5B" w:rsidRPr="00DD0B48" w:rsidRDefault="00792D5B" w:rsidP="00792D5B">
            <w:pPr>
              <w:autoSpaceDE w:val="0"/>
              <w:autoSpaceDN w:val="0"/>
              <w:adjustRightInd w:val="0"/>
              <w:spacing w:afterLines="60" w:after="144" w:line="276" w:lineRule="auto"/>
              <w:jc w:val="left"/>
              <w:rPr>
                <w:highlight w:val="yellow"/>
              </w:rPr>
            </w:pPr>
            <w:r w:rsidRPr="00DD0B48">
              <w:rPr>
                <w:rFonts w:eastAsia="Calibri"/>
                <w:b/>
                <w:bCs/>
              </w:rPr>
              <w:t xml:space="preserve">Outcome 2: </w:t>
            </w:r>
            <w:r w:rsidRPr="00DD0B48">
              <w:rPr>
                <w:rFonts w:eastAsia="Calibri"/>
              </w:rPr>
              <w:t>Policy implementation in three policy priority areas is improved (new electricity generation, liquefied petroleum gas, rural electrification)</w:t>
            </w:r>
          </w:p>
        </w:tc>
      </w:tr>
      <w:tr w:rsidR="00210F35" w14:paraId="0D690CE3" w14:textId="77777777" w:rsidTr="00792D5B">
        <w:tc>
          <w:tcPr>
            <w:tcW w:w="2591" w:type="dxa"/>
            <w:shd w:val="clear" w:color="auto" w:fill="auto"/>
          </w:tcPr>
          <w:p w14:paraId="7AF6615E" w14:textId="6C44BB20" w:rsidR="00210F35" w:rsidRPr="002217C7" w:rsidRDefault="00210F35" w:rsidP="00210F35">
            <w:pPr>
              <w:tabs>
                <w:tab w:val="left" w:pos="426"/>
              </w:tabs>
              <w:spacing w:before="100"/>
              <w:contextualSpacing/>
              <w:rPr>
                <w:b/>
                <w:bCs/>
                <w:highlight w:val="lightGray"/>
              </w:rPr>
            </w:pPr>
            <w:r w:rsidRPr="002217C7">
              <w:rPr>
                <w:b/>
                <w:bCs/>
              </w:rPr>
              <w:t>Indicator 1 to outcome 2</w:t>
            </w:r>
          </w:p>
        </w:tc>
        <w:tc>
          <w:tcPr>
            <w:tcW w:w="6425" w:type="dxa"/>
            <w:shd w:val="clear" w:color="auto" w:fill="auto"/>
          </w:tcPr>
          <w:p w14:paraId="4ADCA314" w14:textId="1683FF78" w:rsidR="00210F35" w:rsidRPr="002217C7" w:rsidRDefault="00210F35" w:rsidP="00210F35">
            <w:pPr>
              <w:pStyle w:val="ListParagraph"/>
              <w:spacing w:before="100"/>
              <w:ind w:left="0"/>
              <w:rPr>
                <w:b/>
                <w:bCs/>
                <w:highlight w:val="lightGray"/>
              </w:rPr>
            </w:pPr>
            <w:r w:rsidRPr="002217C7">
              <w:rPr>
                <w:b/>
                <w:bCs/>
              </w:rPr>
              <w:t>2.1 Extent to which there is a positive change towards a transparent procurement process for new Renewable Energy generation from Independent from Power Producers (IPPs). in accordance with Policy Priority Electricity Generation.</w:t>
            </w:r>
          </w:p>
        </w:tc>
      </w:tr>
      <w:tr w:rsidR="00210F35" w14:paraId="547124F3" w14:textId="77777777" w:rsidTr="00792D5B">
        <w:tc>
          <w:tcPr>
            <w:tcW w:w="2591" w:type="dxa"/>
            <w:shd w:val="clear" w:color="auto" w:fill="auto"/>
          </w:tcPr>
          <w:p w14:paraId="1220130B" w14:textId="77777777" w:rsidR="00210F35" w:rsidRPr="00DD0B48" w:rsidRDefault="00210F35" w:rsidP="00210F35">
            <w:pPr>
              <w:tabs>
                <w:tab w:val="left" w:pos="426"/>
              </w:tabs>
              <w:spacing w:before="100"/>
              <w:contextualSpacing/>
              <w:rPr>
                <w:highlight w:val="lightGray"/>
              </w:rPr>
            </w:pPr>
            <w:r w:rsidRPr="00DD0B48">
              <w:t>Indicators target</w:t>
            </w:r>
          </w:p>
        </w:tc>
        <w:tc>
          <w:tcPr>
            <w:tcW w:w="6425" w:type="dxa"/>
            <w:shd w:val="clear" w:color="auto" w:fill="auto"/>
          </w:tcPr>
          <w:p w14:paraId="2A3F2B69" w14:textId="57B6B0B0" w:rsidR="00210F35" w:rsidRPr="00DD0B48" w:rsidRDefault="00210F35" w:rsidP="00210F35">
            <w:pPr>
              <w:pStyle w:val="ListParagraph"/>
              <w:spacing w:before="100"/>
              <w:ind w:left="0"/>
              <w:rPr>
                <w:highlight w:val="lightGray"/>
              </w:rPr>
            </w:pPr>
            <w:r w:rsidRPr="00DD0B48">
              <w:t xml:space="preserve">To full extent </w:t>
            </w:r>
            <w:r w:rsidR="00D75EA5">
              <w:t xml:space="preserve">by </w:t>
            </w:r>
            <w:r w:rsidRPr="00DD0B48">
              <w:t>2027</w:t>
            </w:r>
          </w:p>
        </w:tc>
      </w:tr>
      <w:tr w:rsidR="00210F35" w14:paraId="27B11922" w14:textId="77777777" w:rsidTr="00792D5B">
        <w:trPr>
          <w:trHeight w:val="295"/>
        </w:trPr>
        <w:tc>
          <w:tcPr>
            <w:tcW w:w="2591" w:type="dxa"/>
            <w:vMerge w:val="restart"/>
            <w:shd w:val="clear" w:color="auto" w:fill="auto"/>
          </w:tcPr>
          <w:p w14:paraId="13A354E6" w14:textId="77777777" w:rsidR="00210F35" w:rsidRPr="00DD0B48" w:rsidRDefault="00210F35" w:rsidP="00210F35">
            <w:pPr>
              <w:tabs>
                <w:tab w:val="left" w:pos="426"/>
              </w:tabs>
              <w:spacing w:before="100"/>
              <w:contextualSpacing/>
              <w:rPr>
                <w:highlight w:val="lightGray"/>
              </w:rPr>
            </w:pPr>
            <w:r w:rsidRPr="00DD0B48">
              <w:t>Sources of data for the values of the indicator</w:t>
            </w:r>
          </w:p>
        </w:tc>
        <w:tc>
          <w:tcPr>
            <w:tcW w:w="6425" w:type="dxa"/>
            <w:shd w:val="clear" w:color="auto" w:fill="auto"/>
          </w:tcPr>
          <w:p w14:paraId="77B7193C" w14:textId="77777777" w:rsidR="00DD0B48" w:rsidRPr="00DD0B48" w:rsidRDefault="00DD0B48" w:rsidP="00DD0B48">
            <w:pPr>
              <w:autoSpaceDE w:val="0"/>
              <w:autoSpaceDN w:val="0"/>
              <w:adjustRightInd w:val="0"/>
              <w:spacing w:afterLines="60" w:after="144" w:line="276" w:lineRule="auto"/>
              <w:jc w:val="left"/>
            </w:pPr>
            <w:r w:rsidRPr="00DD0B48">
              <w:t>Project reports.</w:t>
            </w:r>
          </w:p>
          <w:p w14:paraId="7BFCAE21" w14:textId="46501B17" w:rsidR="00210F35" w:rsidRPr="00DD0B48" w:rsidRDefault="00DD0B48" w:rsidP="00DD0B48">
            <w:pPr>
              <w:pStyle w:val="ListParagraph"/>
              <w:spacing w:before="100"/>
              <w:ind w:left="0"/>
              <w:rPr>
                <w:highlight w:val="lightGray"/>
              </w:rPr>
            </w:pPr>
            <w:r w:rsidRPr="00DD0B48">
              <w:t>Assessment by independent experts</w:t>
            </w:r>
          </w:p>
        </w:tc>
      </w:tr>
      <w:tr w:rsidR="00DD0B48" w14:paraId="360E2795" w14:textId="77777777" w:rsidTr="00792D5B">
        <w:trPr>
          <w:trHeight w:val="294"/>
        </w:trPr>
        <w:tc>
          <w:tcPr>
            <w:tcW w:w="2591" w:type="dxa"/>
            <w:vMerge/>
            <w:shd w:val="clear" w:color="auto" w:fill="auto"/>
          </w:tcPr>
          <w:p w14:paraId="501DEB9E" w14:textId="77777777" w:rsidR="00DD0B48" w:rsidRPr="00DD0B48" w:rsidRDefault="00DD0B48" w:rsidP="00DD0B48">
            <w:pPr>
              <w:tabs>
                <w:tab w:val="left" w:pos="426"/>
              </w:tabs>
              <w:spacing w:before="100"/>
              <w:contextualSpacing/>
            </w:pPr>
          </w:p>
        </w:tc>
        <w:tc>
          <w:tcPr>
            <w:tcW w:w="6425" w:type="dxa"/>
            <w:shd w:val="clear" w:color="auto" w:fill="auto"/>
          </w:tcPr>
          <w:p w14:paraId="193BA85F" w14:textId="16A52715" w:rsidR="00590905" w:rsidRPr="00DD0B48" w:rsidRDefault="00590905" w:rsidP="00590905">
            <w:pPr>
              <w:pStyle w:val="ListParagraph"/>
              <w:spacing w:before="100"/>
              <w:ind w:left="0"/>
              <w:rPr>
                <w:color w:val="FF0000"/>
              </w:rPr>
            </w:pPr>
            <w:r w:rsidRPr="0004296F">
              <w:rPr>
                <w:color w:val="FF0000"/>
              </w:rPr>
              <w:t xml:space="preserve">For the purpose of this example in </w:t>
            </w:r>
            <w:r w:rsidR="008B4091">
              <w:rPr>
                <w:color w:val="FF0000"/>
              </w:rPr>
              <w:t>A</w:t>
            </w:r>
            <w:r w:rsidRPr="0004296F">
              <w:rPr>
                <w:color w:val="FF0000"/>
              </w:rPr>
              <w:t xml:space="preserve">nnex K, this row </w:t>
            </w:r>
            <w:r>
              <w:rPr>
                <w:color w:val="FF0000"/>
              </w:rPr>
              <w:t>is t</w:t>
            </w:r>
            <w:r w:rsidRPr="00DD0B48">
              <w:rPr>
                <w:color w:val="FF0000"/>
              </w:rPr>
              <w:t xml:space="preserve">o be deleted by the </w:t>
            </w:r>
            <w:r>
              <w:rPr>
                <w:color w:val="FF0000"/>
              </w:rPr>
              <w:t xml:space="preserve">applicant </w:t>
            </w:r>
            <w:r w:rsidRPr="00DD0B48">
              <w:rPr>
                <w:color w:val="FF0000"/>
              </w:rPr>
              <w:t xml:space="preserve">as </w:t>
            </w:r>
            <w:r>
              <w:rPr>
                <w:color w:val="FF0000"/>
              </w:rPr>
              <w:t>there is no need to have further specifications/</w:t>
            </w:r>
            <w:proofErr w:type="gramStart"/>
            <w:r>
              <w:rPr>
                <w:color w:val="FF0000"/>
              </w:rPr>
              <w:t>standards</w:t>
            </w:r>
            <w:proofErr w:type="gramEnd"/>
          </w:p>
          <w:p w14:paraId="26E4E411" w14:textId="65514A52" w:rsidR="00DD0B48" w:rsidRPr="00DD0B48" w:rsidRDefault="00DD0B48" w:rsidP="00DD0B48">
            <w:pPr>
              <w:pStyle w:val="ListParagraph"/>
              <w:spacing w:before="100"/>
              <w:ind w:left="0"/>
              <w:rPr>
                <w:highlight w:val="lightGray"/>
              </w:rPr>
            </w:pPr>
            <w:r w:rsidRPr="00DD0B48">
              <w:rPr>
                <w:highlight w:val="yellow"/>
              </w:rPr>
              <w:t>&lt; If relevant: technical specifications/standards to describe the indicator (in Appendixes if needed because of complexity of the indicator) &gt;</w:t>
            </w:r>
          </w:p>
        </w:tc>
      </w:tr>
      <w:tr w:rsidR="00DD0B48" w14:paraId="57BE6BCC" w14:textId="77777777" w:rsidTr="00792D5B">
        <w:trPr>
          <w:trHeight w:val="393"/>
        </w:trPr>
        <w:tc>
          <w:tcPr>
            <w:tcW w:w="2591" w:type="dxa"/>
            <w:vMerge w:val="restart"/>
            <w:shd w:val="clear" w:color="auto" w:fill="auto"/>
          </w:tcPr>
          <w:p w14:paraId="58115CF0" w14:textId="7200CCBC" w:rsidR="00DD0B48" w:rsidRPr="00DD0B48" w:rsidRDefault="00DD0B48" w:rsidP="00DD0B48">
            <w:pPr>
              <w:tabs>
                <w:tab w:val="left" w:pos="426"/>
              </w:tabs>
              <w:spacing w:before="100"/>
              <w:contextualSpacing/>
              <w:rPr>
                <w:highlight w:val="lightGray"/>
              </w:rPr>
            </w:pPr>
            <w:r w:rsidRPr="00DD0B48">
              <w:t xml:space="preserve">Financing not linked to costs </w:t>
            </w:r>
            <w:r w:rsidRPr="00DD0B48">
              <w:rPr>
                <w:i/>
                <w:iCs/>
                <w:color w:val="FF0000"/>
              </w:rPr>
              <w:t>(Please remove this row for indicator 1 if financing not linked to costs is not authorised in this call)</w:t>
            </w:r>
          </w:p>
        </w:tc>
        <w:tc>
          <w:tcPr>
            <w:tcW w:w="6425" w:type="dxa"/>
            <w:shd w:val="clear" w:color="auto" w:fill="auto"/>
          </w:tcPr>
          <w:p w14:paraId="2E38A3D8" w14:textId="66BC31E0" w:rsidR="004753DE" w:rsidRPr="00DD0B48" w:rsidRDefault="004753DE" w:rsidP="004753DE">
            <w:pPr>
              <w:pStyle w:val="ListParagraph"/>
              <w:spacing w:before="100"/>
              <w:ind w:left="0"/>
              <w:rPr>
                <w:color w:val="FF0000"/>
              </w:rPr>
            </w:pPr>
            <w:proofErr w:type="gramStart"/>
            <w:r>
              <w:rPr>
                <w:color w:val="FF0000"/>
              </w:rPr>
              <w:t>For the purpose of</w:t>
            </w:r>
            <w:proofErr w:type="gramEnd"/>
            <w:r>
              <w:rPr>
                <w:color w:val="FF0000"/>
              </w:rPr>
              <w:t xml:space="preserve"> this example in </w:t>
            </w:r>
            <w:r w:rsidR="008B4091">
              <w:rPr>
                <w:color w:val="FF0000"/>
              </w:rPr>
              <w:t>A</w:t>
            </w:r>
            <w:r>
              <w:rPr>
                <w:color w:val="FF0000"/>
              </w:rPr>
              <w:t>nnex K, this row on FNLC is to</w:t>
            </w:r>
            <w:r w:rsidRPr="00DD0B48">
              <w:rPr>
                <w:color w:val="FF0000"/>
              </w:rPr>
              <w:t xml:space="preserve"> be deleted by the </w:t>
            </w:r>
            <w:r>
              <w:rPr>
                <w:color w:val="FF0000"/>
              </w:rPr>
              <w:t xml:space="preserve">applicant </w:t>
            </w:r>
            <w:r w:rsidRPr="00DD0B48">
              <w:rPr>
                <w:color w:val="FF0000"/>
              </w:rPr>
              <w:t xml:space="preserve">as this indicator </w:t>
            </w:r>
            <w:r>
              <w:rPr>
                <w:color w:val="FF0000"/>
              </w:rPr>
              <w:t>is</w:t>
            </w:r>
            <w:r w:rsidRPr="00DD0B48">
              <w:rPr>
                <w:color w:val="FF0000"/>
              </w:rPr>
              <w:t xml:space="preserve"> not selected for FNLC, but still </w:t>
            </w:r>
            <w:r>
              <w:rPr>
                <w:color w:val="FF0000"/>
              </w:rPr>
              <w:t xml:space="preserve">to be part of the </w:t>
            </w:r>
            <w:proofErr w:type="spellStart"/>
            <w:r>
              <w:rPr>
                <w:color w:val="FF0000"/>
              </w:rPr>
              <w:t>Logframe</w:t>
            </w:r>
            <w:proofErr w:type="spellEnd"/>
            <w:r>
              <w:rPr>
                <w:color w:val="FF0000"/>
              </w:rPr>
              <w:t xml:space="preserve"> for monitoring and reporting purposes.</w:t>
            </w:r>
          </w:p>
          <w:p w14:paraId="1CB4E73E" w14:textId="77777777" w:rsidR="00DD0B48" w:rsidRPr="00DD0B48" w:rsidRDefault="00DD0B48" w:rsidP="00DD0B48">
            <w:pPr>
              <w:pStyle w:val="ListParagraph"/>
              <w:spacing w:before="100"/>
              <w:ind w:left="0"/>
            </w:pPr>
          </w:p>
          <w:p w14:paraId="2D274CEA" w14:textId="6317F609" w:rsidR="00DD0B48" w:rsidRPr="00DD0B48" w:rsidRDefault="00DD0B48" w:rsidP="00DD0B48">
            <w:pPr>
              <w:pStyle w:val="ListParagraph"/>
              <w:spacing w:before="100"/>
              <w:ind w:left="0"/>
              <w:rPr>
                <w:highlight w:val="lightGray"/>
              </w:rPr>
            </w:pPr>
            <w:r w:rsidRPr="00DD0B48">
              <w:t>In case the indicator is used for financing not linked to costs in the budget, please clarify the maximum amount that correspond to indicator 1</w:t>
            </w:r>
          </w:p>
        </w:tc>
      </w:tr>
      <w:tr w:rsidR="00210F35" w:rsidRPr="00DD0B48" w14:paraId="107D4CA5" w14:textId="77777777" w:rsidTr="00792D5B">
        <w:trPr>
          <w:trHeight w:val="392"/>
        </w:trPr>
        <w:tc>
          <w:tcPr>
            <w:tcW w:w="2591" w:type="dxa"/>
            <w:vMerge/>
            <w:shd w:val="clear" w:color="auto" w:fill="auto"/>
          </w:tcPr>
          <w:p w14:paraId="3F3A5331" w14:textId="77777777" w:rsidR="00210F35" w:rsidRPr="00DD0B48" w:rsidRDefault="00210F35" w:rsidP="00210F35">
            <w:pPr>
              <w:tabs>
                <w:tab w:val="left" w:pos="426"/>
              </w:tabs>
              <w:spacing w:before="100"/>
              <w:contextualSpacing/>
              <w:rPr>
                <w:highlight w:val="lightGray"/>
              </w:rPr>
            </w:pPr>
          </w:p>
        </w:tc>
        <w:tc>
          <w:tcPr>
            <w:tcW w:w="6425" w:type="dxa"/>
            <w:shd w:val="clear" w:color="auto" w:fill="auto"/>
          </w:tcPr>
          <w:p w14:paraId="3B964FB9" w14:textId="77777777" w:rsidR="00210F35" w:rsidRPr="00DD0B48" w:rsidRDefault="00210F35" w:rsidP="00210F35">
            <w:pPr>
              <w:pStyle w:val="ListParagraph"/>
              <w:spacing w:before="100"/>
              <w:ind w:left="0"/>
            </w:pPr>
            <w:r w:rsidRPr="00DD0B48">
              <w:t>Please clarify the amounts linked to partial achievement</w:t>
            </w:r>
          </w:p>
        </w:tc>
      </w:tr>
      <w:tr w:rsidR="00244FAB" w:rsidRPr="00DD0B48" w14:paraId="75788BAD" w14:textId="77777777" w:rsidTr="00792D5B">
        <w:tc>
          <w:tcPr>
            <w:tcW w:w="2591" w:type="dxa"/>
            <w:shd w:val="clear" w:color="auto" w:fill="auto"/>
          </w:tcPr>
          <w:p w14:paraId="31F200A7" w14:textId="4D5FC5DB" w:rsidR="00244FAB" w:rsidRPr="002217C7" w:rsidRDefault="00244FAB" w:rsidP="00244FAB">
            <w:pPr>
              <w:tabs>
                <w:tab w:val="left" w:pos="426"/>
              </w:tabs>
              <w:spacing w:before="100"/>
              <w:contextualSpacing/>
              <w:rPr>
                <w:b/>
                <w:bCs/>
              </w:rPr>
            </w:pPr>
            <w:r w:rsidRPr="002217C7">
              <w:rPr>
                <w:b/>
                <w:bCs/>
              </w:rPr>
              <w:t>Indicator 2 to outcome 2</w:t>
            </w:r>
          </w:p>
        </w:tc>
        <w:tc>
          <w:tcPr>
            <w:tcW w:w="6425" w:type="dxa"/>
            <w:shd w:val="clear" w:color="auto" w:fill="auto"/>
          </w:tcPr>
          <w:p w14:paraId="2C0FCEAD" w14:textId="35249F48" w:rsidR="00244FAB" w:rsidRPr="002217C7" w:rsidRDefault="00244FAB" w:rsidP="00244FAB">
            <w:pPr>
              <w:pStyle w:val="ListParagraph"/>
              <w:spacing w:before="100"/>
              <w:ind w:left="0"/>
              <w:rPr>
                <w:b/>
                <w:bCs/>
              </w:rPr>
            </w:pPr>
            <w:r w:rsidRPr="002217C7">
              <w:rPr>
                <w:b/>
                <w:bCs/>
              </w:rPr>
              <w:t>2.2 Number of households provided with access to clean cooking and fuel</w:t>
            </w:r>
          </w:p>
        </w:tc>
      </w:tr>
      <w:tr w:rsidR="00244FAB" w:rsidRPr="00DD0B48" w14:paraId="09CA4E3C" w14:textId="77777777" w:rsidTr="00792D5B">
        <w:tc>
          <w:tcPr>
            <w:tcW w:w="2591" w:type="dxa"/>
            <w:shd w:val="clear" w:color="auto" w:fill="auto"/>
          </w:tcPr>
          <w:p w14:paraId="467BBB00" w14:textId="68366E78" w:rsidR="00244FAB" w:rsidRPr="00DD0B48" w:rsidRDefault="00244FAB" w:rsidP="00244FAB">
            <w:pPr>
              <w:tabs>
                <w:tab w:val="left" w:pos="426"/>
              </w:tabs>
              <w:spacing w:before="100"/>
              <w:contextualSpacing/>
            </w:pPr>
            <w:r w:rsidRPr="00DD0B48">
              <w:t>Indicators target</w:t>
            </w:r>
          </w:p>
        </w:tc>
        <w:tc>
          <w:tcPr>
            <w:tcW w:w="6425" w:type="dxa"/>
            <w:shd w:val="clear" w:color="auto" w:fill="auto"/>
          </w:tcPr>
          <w:p w14:paraId="13C1B85C" w14:textId="7C0CC2B0" w:rsidR="00244FAB" w:rsidRPr="00DD0B48" w:rsidRDefault="00244FAB" w:rsidP="00244FAB">
            <w:pPr>
              <w:pStyle w:val="ListParagraph"/>
              <w:spacing w:before="100"/>
              <w:ind w:left="0"/>
            </w:pPr>
            <w:r w:rsidRPr="00D22EBC">
              <w:t>3</w:t>
            </w:r>
            <w:r w:rsidR="008B4091">
              <w:t xml:space="preserve"> </w:t>
            </w:r>
            <w:r w:rsidRPr="00D22EBC">
              <w:t>000 by 2027</w:t>
            </w:r>
          </w:p>
        </w:tc>
      </w:tr>
      <w:tr w:rsidR="00244FAB" w:rsidRPr="00DD0B48" w14:paraId="72CC3342" w14:textId="77777777" w:rsidTr="00792D5B">
        <w:tc>
          <w:tcPr>
            <w:tcW w:w="2591" w:type="dxa"/>
            <w:vMerge w:val="restart"/>
            <w:shd w:val="clear" w:color="auto" w:fill="auto"/>
          </w:tcPr>
          <w:p w14:paraId="357EB20C" w14:textId="0B38E07E" w:rsidR="00244FAB" w:rsidRPr="00DD0B48" w:rsidRDefault="00244FAB" w:rsidP="00244FAB">
            <w:pPr>
              <w:tabs>
                <w:tab w:val="left" w:pos="426"/>
              </w:tabs>
              <w:spacing w:before="100"/>
              <w:contextualSpacing/>
            </w:pPr>
            <w:r w:rsidRPr="00DD0B48">
              <w:t>Sources of data for the values of the indicator</w:t>
            </w:r>
          </w:p>
        </w:tc>
        <w:tc>
          <w:tcPr>
            <w:tcW w:w="6425" w:type="dxa"/>
            <w:shd w:val="clear" w:color="auto" w:fill="auto"/>
          </w:tcPr>
          <w:p w14:paraId="7B63B47B" w14:textId="77777777" w:rsidR="00244FAB" w:rsidRPr="00D22EBC" w:rsidRDefault="00244FAB" w:rsidP="00D22EBC">
            <w:pPr>
              <w:pStyle w:val="ListParagraph"/>
              <w:spacing w:before="100"/>
              <w:ind w:left="0"/>
            </w:pPr>
            <w:r w:rsidRPr="00D22EBC">
              <w:t xml:space="preserve">Reports from Ministry of Energy (including disaggregated data by gender). </w:t>
            </w:r>
          </w:p>
          <w:p w14:paraId="588148A1" w14:textId="3B0FD1C3" w:rsidR="00244FAB" w:rsidRPr="00DD0B48" w:rsidRDefault="00244FAB" w:rsidP="00D22EBC">
            <w:pPr>
              <w:pStyle w:val="ListParagraph"/>
              <w:spacing w:before="100"/>
              <w:ind w:left="0"/>
            </w:pPr>
            <w:r w:rsidRPr="00D22EBC">
              <w:t>Reports from private sector Liquefied Petroleum Gas (LPG) distributors/providers. Importation and distribution records of bottles.</w:t>
            </w:r>
          </w:p>
        </w:tc>
      </w:tr>
      <w:tr w:rsidR="00D22EBC" w:rsidRPr="00DD0B48" w14:paraId="20EC7DA1" w14:textId="77777777" w:rsidTr="00792D5B">
        <w:tc>
          <w:tcPr>
            <w:tcW w:w="2591" w:type="dxa"/>
            <w:vMerge/>
            <w:shd w:val="clear" w:color="auto" w:fill="auto"/>
          </w:tcPr>
          <w:p w14:paraId="33965511" w14:textId="77777777" w:rsidR="00D22EBC" w:rsidRPr="00DD0B48" w:rsidRDefault="00D22EBC" w:rsidP="00D22EBC">
            <w:pPr>
              <w:tabs>
                <w:tab w:val="left" w:pos="426"/>
              </w:tabs>
              <w:spacing w:before="100"/>
              <w:contextualSpacing/>
            </w:pPr>
          </w:p>
        </w:tc>
        <w:tc>
          <w:tcPr>
            <w:tcW w:w="6425" w:type="dxa"/>
            <w:shd w:val="clear" w:color="auto" w:fill="auto"/>
          </w:tcPr>
          <w:p w14:paraId="294A42AC" w14:textId="1095D38D" w:rsidR="00D22EBC" w:rsidRPr="00DD0B48" w:rsidRDefault="00D22EBC" w:rsidP="00D22EBC">
            <w:pPr>
              <w:pStyle w:val="ListParagraph"/>
              <w:spacing w:before="100"/>
              <w:ind w:left="0"/>
            </w:pPr>
            <w:r w:rsidRPr="002217C7">
              <w:t xml:space="preserve">Technical specifications/standards described in Appendix </w:t>
            </w:r>
            <w:r w:rsidR="009A4454" w:rsidRPr="009A4454">
              <w:t>4 (added by the applicant)</w:t>
            </w:r>
          </w:p>
        </w:tc>
      </w:tr>
      <w:tr w:rsidR="00D22EBC" w:rsidRPr="00DD0B48" w14:paraId="4027AEAE" w14:textId="77777777" w:rsidTr="00792D5B">
        <w:tc>
          <w:tcPr>
            <w:tcW w:w="2591" w:type="dxa"/>
            <w:vMerge w:val="restart"/>
            <w:shd w:val="clear" w:color="auto" w:fill="auto"/>
          </w:tcPr>
          <w:p w14:paraId="7A9A198F" w14:textId="1808F29C" w:rsidR="00D22EBC" w:rsidRPr="00DD0B48" w:rsidRDefault="00D22EBC" w:rsidP="00D22EBC">
            <w:pPr>
              <w:tabs>
                <w:tab w:val="left" w:pos="426"/>
              </w:tabs>
              <w:spacing w:before="100"/>
              <w:contextualSpacing/>
            </w:pPr>
            <w:r w:rsidRPr="00DD0B48">
              <w:t>Financing not linked to costs</w:t>
            </w:r>
          </w:p>
        </w:tc>
        <w:tc>
          <w:tcPr>
            <w:tcW w:w="6425" w:type="dxa"/>
            <w:shd w:val="clear" w:color="auto" w:fill="auto"/>
          </w:tcPr>
          <w:p w14:paraId="04D37B23" w14:textId="5EE17434" w:rsidR="00D22EBC" w:rsidRPr="00DD0B48" w:rsidRDefault="00D22EBC" w:rsidP="00D22EBC">
            <w:pPr>
              <w:pStyle w:val="ListParagraph"/>
              <w:spacing w:before="100"/>
              <w:ind w:left="0"/>
            </w:pPr>
            <w:r w:rsidRPr="00A04CA2">
              <w:t>Maximum EU contribution for indicator 2.</w:t>
            </w:r>
            <w:r>
              <w:t>2</w:t>
            </w:r>
            <w:r w:rsidRPr="00A04CA2">
              <w:t>: EUR 1</w:t>
            </w:r>
            <w:r>
              <w:t>5</w:t>
            </w:r>
            <w:r w:rsidRPr="00A04CA2">
              <w:t>0</w:t>
            </w:r>
            <w:r w:rsidR="008B4091">
              <w:t xml:space="preserve"> </w:t>
            </w:r>
            <w:r w:rsidRPr="00A04CA2">
              <w:t>000</w:t>
            </w:r>
          </w:p>
        </w:tc>
      </w:tr>
      <w:tr w:rsidR="00D22EBC" w:rsidRPr="00DD0B48" w14:paraId="44A13687" w14:textId="77777777" w:rsidTr="00792D5B">
        <w:tc>
          <w:tcPr>
            <w:tcW w:w="2591" w:type="dxa"/>
            <w:vMerge/>
            <w:shd w:val="clear" w:color="auto" w:fill="auto"/>
          </w:tcPr>
          <w:p w14:paraId="05ED0E0F" w14:textId="77777777" w:rsidR="00D22EBC" w:rsidRPr="00DD0B48" w:rsidRDefault="00D22EBC" w:rsidP="00D22EBC">
            <w:pPr>
              <w:tabs>
                <w:tab w:val="left" w:pos="426"/>
              </w:tabs>
              <w:spacing w:before="100"/>
              <w:contextualSpacing/>
            </w:pPr>
          </w:p>
        </w:tc>
        <w:tc>
          <w:tcPr>
            <w:tcW w:w="6425" w:type="dxa"/>
            <w:shd w:val="clear" w:color="auto" w:fill="auto"/>
          </w:tcPr>
          <w:p w14:paraId="1FB89AF5" w14:textId="2AF24438" w:rsidR="00D22EBC" w:rsidRPr="00A04CA2" w:rsidRDefault="00D22EBC" w:rsidP="00D22EBC">
            <w:pPr>
              <w:spacing w:before="100"/>
            </w:pPr>
            <w:r w:rsidRPr="00A04CA2">
              <w:t xml:space="preserve">In case of partial </w:t>
            </w:r>
            <w:proofErr w:type="gramStart"/>
            <w:r w:rsidRPr="00A04CA2">
              <w:t>achievement</w:t>
            </w:r>
            <w:proofErr w:type="gramEnd"/>
            <w:r w:rsidRPr="00A04CA2">
              <w:t xml:space="preserve"> </w:t>
            </w:r>
            <w:r>
              <w:t>the amount is reduced proportionally per number of household</w:t>
            </w:r>
            <w:r w:rsidRPr="00A04CA2">
              <w:t>:</w:t>
            </w:r>
          </w:p>
          <w:p w14:paraId="72410D1E" w14:textId="15431A9B" w:rsidR="00D22EBC" w:rsidRPr="00DD0B48" w:rsidRDefault="00D22EBC" w:rsidP="00D22EBC">
            <w:pPr>
              <w:pStyle w:val="ListParagraph"/>
              <w:numPr>
                <w:ilvl w:val="0"/>
                <w:numId w:val="5"/>
              </w:numPr>
              <w:spacing w:before="100"/>
            </w:pPr>
            <w:r>
              <w:t>Each verified household provided with access to clean cooking and fuel corresponds to EUR 50</w:t>
            </w:r>
          </w:p>
        </w:tc>
      </w:tr>
    </w:tbl>
    <w:p w14:paraId="45BDF87A" w14:textId="6DBBD15F" w:rsidR="00265423" w:rsidRDefault="00265423"/>
    <w:sectPr w:rsidR="00265423" w:rsidSect="0026542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7D04" w14:textId="77777777" w:rsidR="004440A1" w:rsidRDefault="004440A1" w:rsidP="0091708B">
      <w:pPr>
        <w:spacing w:before="0" w:after="0" w:line="240" w:lineRule="auto"/>
      </w:pPr>
      <w:r>
        <w:separator/>
      </w:r>
    </w:p>
  </w:endnote>
  <w:endnote w:type="continuationSeparator" w:id="0">
    <w:p w14:paraId="4A90CD48" w14:textId="77777777" w:rsidR="004440A1" w:rsidRDefault="004440A1" w:rsidP="0091708B">
      <w:pPr>
        <w:spacing w:before="0" w:after="0" w:line="240" w:lineRule="auto"/>
      </w:pPr>
      <w:r>
        <w:continuationSeparator/>
      </w:r>
    </w:p>
  </w:endnote>
  <w:endnote w:type="continuationNotice" w:id="1">
    <w:p w14:paraId="5C69A445" w14:textId="77777777" w:rsidR="004440A1" w:rsidRDefault="004440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B82A" w14:textId="77777777" w:rsidR="00D71E39" w:rsidRDefault="00D71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4A1F" w14:textId="556FC4D1" w:rsidR="0091708B" w:rsidRPr="002217C7" w:rsidRDefault="00D71E39" w:rsidP="00D71E39">
    <w:pPr>
      <w:pStyle w:val="Footer"/>
      <w:tabs>
        <w:tab w:val="clear" w:pos="4513"/>
      </w:tabs>
      <w:rPr>
        <w:sz w:val="20"/>
        <w:szCs w:val="20"/>
        <w:lang w:val="en-IE"/>
      </w:rPr>
    </w:pPr>
    <w:r w:rsidRPr="002217C7">
      <w:rPr>
        <w:b/>
        <w:bCs/>
        <w:sz w:val="20"/>
        <w:szCs w:val="20"/>
        <w:lang w:val="en-IE"/>
      </w:rPr>
      <w:t>202</w:t>
    </w:r>
    <w:r w:rsidR="008A487D">
      <w:rPr>
        <w:b/>
        <w:bCs/>
        <w:sz w:val="20"/>
        <w:szCs w:val="20"/>
        <w:lang w:val="en-IE"/>
      </w:rPr>
      <w:t>5</w:t>
    </w:r>
    <w:r w:rsidRPr="002217C7">
      <w:rPr>
        <w:b/>
        <w:bCs/>
        <w:sz w:val="20"/>
        <w:szCs w:val="20"/>
        <w:lang w:val="en-IE"/>
      </w:rPr>
      <w:tab/>
    </w:r>
    <w:r w:rsidRPr="002217C7">
      <w:rPr>
        <w:sz w:val="20"/>
        <w:szCs w:val="20"/>
        <w:lang w:val="en-IE"/>
      </w:rPr>
      <w:t xml:space="preserve">Page </w:t>
    </w:r>
    <w:r w:rsidRPr="00D71E39">
      <w:rPr>
        <w:sz w:val="20"/>
        <w:szCs w:val="20"/>
        <w:lang w:val="fr-BE"/>
      </w:rPr>
      <w:fldChar w:fldCharType="begin"/>
    </w:r>
    <w:r w:rsidRPr="002217C7">
      <w:rPr>
        <w:sz w:val="20"/>
        <w:szCs w:val="20"/>
        <w:lang w:val="en-IE"/>
      </w:rPr>
      <w:instrText xml:space="preserve"> PAGE  \* Arabic  \* MERGEFORMAT </w:instrText>
    </w:r>
    <w:r w:rsidRPr="00D71E39">
      <w:rPr>
        <w:sz w:val="20"/>
        <w:szCs w:val="20"/>
        <w:lang w:val="fr-BE"/>
      </w:rPr>
      <w:fldChar w:fldCharType="separate"/>
    </w:r>
    <w:r w:rsidRPr="002217C7">
      <w:rPr>
        <w:noProof/>
        <w:sz w:val="20"/>
        <w:szCs w:val="20"/>
        <w:lang w:val="en-IE"/>
      </w:rPr>
      <w:t>1</w:t>
    </w:r>
    <w:r w:rsidRPr="00D71E39">
      <w:rPr>
        <w:sz w:val="20"/>
        <w:szCs w:val="20"/>
        <w:lang w:val="fr-BE"/>
      </w:rPr>
      <w:fldChar w:fldCharType="end"/>
    </w:r>
    <w:r w:rsidRPr="002217C7">
      <w:rPr>
        <w:sz w:val="20"/>
        <w:szCs w:val="20"/>
        <w:lang w:val="en-IE"/>
      </w:rPr>
      <w:t xml:space="preserve"> of </w:t>
    </w:r>
    <w:r w:rsidRPr="00D71E39">
      <w:rPr>
        <w:sz w:val="20"/>
        <w:szCs w:val="20"/>
        <w:lang w:val="fr-BE"/>
      </w:rPr>
      <w:fldChar w:fldCharType="begin"/>
    </w:r>
    <w:r w:rsidRPr="002217C7">
      <w:rPr>
        <w:sz w:val="20"/>
        <w:szCs w:val="20"/>
        <w:lang w:val="en-IE"/>
      </w:rPr>
      <w:instrText xml:space="preserve"> NUMPAGES   \* MERGEFORMAT </w:instrText>
    </w:r>
    <w:r w:rsidRPr="00D71E39">
      <w:rPr>
        <w:sz w:val="20"/>
        <w:szCs w:val="20"/>
        <w:lang w:val="fr-BE"/>
      </w:rPr>
      <w:fldChar w:fldCharType="separate"/>
    </w:r>
    <w:r w:rsidRPr="002217C7">
      <w:rPr>
        <w:noProof/>
        <w:sz w:val="20"/>
        <w:szCs w:val="20"/>
        <w:lang w:val="en-IE"/>
      </w:rPr>
      <w:t>16</w:t>
    </w:r>
    <w:r w:rsidRPr="00D71E39">
      <w:rPr>
        <w:sz w:val="20"/>
        <w:szCs w:val="20"/>
        <w:lang w:val="fr-BE"/>
      </w:rPr>
      <w:fldChar w:fldCharType="end"/>
    </w:r>
  </w:p>
  <w:p w14:paraId="52D8A03D" w14:textId="2D2AD6D6" w:rsidR="00D71E39" w:rsidRPr="002217C7" w:rsidRDefault="00D71E39" w:rsidP="002217C7">
    <w:pPr>
      <w:pStyle w:val="Footer"/>
      <w:tabs>
        <w:tab w:val="clear" w:pos="4513"/>
      </w:tabs>
      <w:rPr>
        <w:lang w:val="en-IE"/>
      </w:rPr>
    </w:pPr>
    <w:r w:rsidRPr="00D71E39">
      <w:rPr>
        <w:sz w:val="20"/>
        <w:szCs w:val="20"/>
        <w:lang w:val="fr-BE"/>
      </w:rPr>
      <w:fldChar w:fldCharType="begin"/>
    </w:r>
    <w:r w:rsidRPr="002217C7">
      <w:rPr>
        <w:sz w:val="20"/>
        <w:szCs w:val="20"/>
        <w:lang w:val="en-IE"/>
      </w:rPr>
      <w:instrText xml:space="preserve"> FILENAME   \* MERGEFORMAT </w:instrText>
    </w:r>
    <w:r w:rsidRPr="00D71E39">
      <w:rPr>
        <w:sz w:val="20"/>
        <w:szCs w:val="20"/>
        <w:lang w:val="fr-BE"/>
      </w:rPr>
      <w:fldChar w:fldCharType="separate"/>
    </w:r>
    <w:r w:rsidR="008A487D">
      <w:rPr>
        <w:noProof/>
        <w:sz w:val="20"/>
        <w:szCs w:val="20"/>
        <w:lang w:val="en-IE"/>
      </w:rPr>
      <w:t>e3a2_clarifications_FNLC_annex_K_en.docx</w:t>
    </w:r>
    <w:r w:rsidRPr="00D71E39">
      <w:rPr>
        <w:sz w:val="20"/>
        <w:szCs w:val="20"/>
        <w:lang w:val="fr-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224D" w14:textId="77777777" w:rsidR="00D71E39" w:rsidRDefault="00D71E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8C54" w14:textId="6341C9F7" w:rsidR="00ED5405" w:rsidRPr="002217C7" w:rsidRDefault="00ED5405" w:rsidP="002217C7">
    <w:pPr>
      <w:pStyle w:val="Footer"/>
      <w:tabs>
        <w:tab w:val="clear" w:pos="4513"/>
        <w:tab w:val="clear" w:pos="9026"/>
        <w:tab w:val="right" w:pos="13750"/>
      </w:tabs>
      <w:rPr>
        <w:sz w:val="20"/>
        <w:szCs w:val="20"/>
        <w:lang w:val="en-IE"/>
      </w:rPr>
    </w:pPr>
    <w:r w:rsidRPr="002217C7">
      <w:rPr>
        <w:b/>
        <w:bCs/>
        <w:sz w:val="20"/>
        <w:szCs w:val="20"/>
        <w:lang w:val="en-IE"/>
      </w:rPr>
      <w:t>202</w:t>
    </w:r>
    <w:r w:rsidR="008A487D">
      <w:rPr>
        <w:b/>
        <w:bCs/>
        <w:sz w:val="20"/>
        <w:szCs w:val="20"/>
        <w:lang w:val="en-IE"/>
      </w:rPr>
      <w:t>5</w:t>
    </w:r>
    <w:r w:rsidRPr="002217C7">
      <w:rPr>
        <w:b/>
        <w:bCs/>
        <w:sz w:val="20"/>
        <w:szCs w:val="20"/>
        <w:lang w:val="en-IE"/>
      </w:rPr>
      <w:tab/>
    </w:r>
    <w:r w:rsidRPr="002217C7">
      <w:rPr>
        <w:sz w:val="20"/>
        <w:szCs w:val="20"/>
        <w:lang w:val="en-IE"/>
      </w:rPr>
      <w:t xml:space="preserve">Page </w:t>
    </w:r>
    <w:r w:rsidRPr="00D71E39">
      <w:rPr>
        <w:sz w:val="20"/>
        <w:szCs w:val="20"/>
        <w:lang w:val="fr-BE"/>
      </w:rPr>
      <w:fldChar w:fldCharType="begin"/>
    </w:r>
    <w:r w:rsidRPr="002217C7">
      <w:rPr>
        <w:sz w:val="20"/>
        <w:szCs w:val="20"/>
        <w:lang w:val="en-IE"/>
      </w:rPr>
      <w:instrText xml:space="preserve"> PAGE  \* Arabic  \* MERGEFORMAT </w:instrText>
    </w:r>
    <w:r w:rsidRPr="00D71E39">
      <w:rPr>
        <w:sz w:val="20"/>
        <w:szCs w:val="20"/>
        <w:lang w:val="fr-BE"/>
      </w:rPr>
      <w:fldChar w:fldCharType="separate"/>
    </w:r>
    <w:r w:rsidRPr="002217C7">
      <w:rPr>
        <w:sz w:val="20"/>
        <w:szCs w:val="20"/>
        <w:lang w:val="en-IE"/>
      </w:rPr>
      <w:t>1</w:t>
    </w:r>
    <w:r w:rsidRPr="00D71E39">
      <w:rPr>
        <w:sz w:val="20"/>
        <w:szCs w:val="20"/>
        <w:lang w:val="fr-BE"/>
      </w:rPr>
      <w:fldChar w:fldCharType="end"/>
    </w:r>
    <w:r w:rsidRPr="002217C7">
      <w:rPr>
        <w:sz w:val="20"/>
        <w:szCs w:val="20"/>
        <w:lang w:val="en-IE"/>
      </w:rPr>
      <w:t xml:space="preserve"> of </w:t>
    </w:r>
    <w:r w:rsidRPr="00D71E39">
      <w:rPr>
        <w:sz w:val="20"/>
        <w:szCs w:val="20"/>
        <w:lang w:val="fr-BE"/>
      </w:rPr>
      <w:fldChar w:fldCharType="begin"/>
    </w:r>
    <w:r w:rsidRPr="002217C7">
      <w:rPr>
        <w:sz w:val="20"/>
        <w:szCs w:val="20"/>
        <w:lang w:val="en-IE"/>
      </w:rPr>
      <w:instrText xml:space="preserve"> NUMPAGES   \* MERGEFORMAT </w:instrText>
    </w:r>
    <w:r w:rsidRPr="00D71E39">
      <w:rPr>
        <w:sz w:val="20"/>
        <w:szCs w:val="20"/>
        <w:lang w:val="fr-BE"/>
      </w:rPr>
      <w:fldChar w:fldCharType="separate"/>
    </w:r>
    <w:r w:rsidRPr="002217C7">
      <w:rPr>
        <w:sz w:val="20"/>
        <w:szCs w:val="20"/>
        <w:lang w:val="en-IE"/>
      </w:rPr>
      <w:t>16</w:t>
    </w:r>
    <w:r w:rsidRPr="00D71E39">
      <w:rPr>
        <w:sz w:val="20"/>
        <w:szCs w:val="20"/>
        <w:lang w:val="fr-BE"/>
      </w:rPr>
      <w:fldChar w:fldCharType="end"/>
    </w:r>
  </w:p>
  <w:p w14:paraId="0749CFFF" w14:textId="57ED5375" w:rsidR="00710290" w:rsidRPr="002217C7" w:rsidRDefault="00ED5405" w:rsidP="002217C7">
    <w:pPr>
      <w:pStyle w:val="Footer"/>
      <w:tabs>
        <w:tab w:val="clear" w:pos="4513"/>
      </w:tabs>
      <w:rPr>
        <w:lang w:val="en-IE"/>
      </w:rPr>
    </w:pPr>
    <w:r w:rsidRPr="00D71E39">
      <w:rPr>
        <w:sz w:val="20"/>
        <w:szCs w:val="20"/>
        <w:lang w:val="fr-BE"/>
      </w:rPr>
      <w:fldChar w:fldCharType="begin"/>
    </w:r>
    <w:r w:rsidRPr="002217C7">
      <w:rPr>
        <w:sz w:val="20"/>
        <w:szCs w:val="20"/>
        <w:lang w:val="en-IE"/>
      </w:rPr>
      <w:instrText xml:space="preserve"> FILENAME   \* MERGEFORMAT </w:instrText>
    </w:r>
    <w:r w:rsidRPr="00D71E39">
      <w:rPr>
        <w:sz w:val="20"/>
        <w:szCs w:val="20"/>
        <w:lang w:val="fr-BE"/>
      </w:rPr>
      <w:fldChar w:fldCharType="separate"/>
    </w:r>
    <w:r w:rsidRPr="002217C7">
      <w:rPr>
        <w:noProof/>
        <w:sz w:val="20"/>
        <w:szCs w:val="20"/>
        <w:lang w:val="en-IE"/>
      </w:rPr>
      <w:t>e3a2_clarifications_FNLC_annex_K_en.docx</w:t>
    </w:r>
    <w:r w:rsidRPr="00D71E39">
      <w:rPr>
        <w:sz w:val="20"/>
        <w:szCs w:val="20"/>
        <w:lang w:val="fr-B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090B" w14:textId="5F2472A4" w:rsidR="00ED5405" w:rsidRPr="002217C7" w:rsidRDefault="00ED5405" w:rsidP="00ED5405">
    <w:pPr>
      <w:pStyle w:val="Footer"/>
      <w:tabs>
        <w:tab w:val="clear" w:pos="4513"/>
        <w:tab w:val="clear" w:pos="9026"/>
        <w:tab w:val="right" w:pos="13750"/>
      </w:tabs>
      <w:rPr>
        <w:sz w:val="20"/>
        <w:szCs w:val="20"/>
        <w:lang w:val="en-IE"/>
      </w:rPr>
    </w:pPr>
    <w:r w:rsidRPr="002217C7">
      <w:rPr>
        <w:b/>
        <w:bCs/>
        <w:sz w:val="20"/>
        <w:szCs w:val="20"/>
        <w:lang w:val="en-IE"/>
      </w:rPr>
      <w:t>202</w:t>
    </w:r>
    <w:r w:rsidR="008A487D">
      <w:rPr>
        <w:b/>
        <w:bCs/>
        <w:sz w:val="20"/>
        <w:szCs w:val="20"/>
        <w:lang w:val="en-IE"/>
      </w:rPr>
      <w:t>5</w:t>
    </w:r>
    <w:r w:rsidRPr="002217C7">
      <w:rPr>
        <w:b/>
        <w:bCs/>
        <w:sz w:val="20"/>
        <w:szCs w:val="20"/>
        <w:lang w:val="en-IE"/>
      </w:rPr>
      <w:tab/>
    </w:r>
    <w:r w:rsidRPr="002217C7">
      <w:rPr>
        <w:sz w:val="20"/>
        <w:szCs w:val="20"/>
        <w:lang w:val="en-IE"/>
      </w:rPr>
      <w:t xml:space="preserve">Page </w:t>
    </w:r>
    <w:r w:rsidRPr="00D71E39">
      <w:rPr>
        <w:sz w:val="20"/>
        <w:szCs w:val="20"/>
        <w:lang w:val="fr-BE"/>
      </w:rPr>
      <w:fldChar w:fldCharType="begin"/>
    </w:r>
    <w:r w:rsidRPr="002217C7">
      <w:rPr>
        <w:sz w:val="20"/>
        <w:szCs w:val="20"/>
        <w:lang w:val="en-IE"/>
      </w:rPr>
      <w:instrText xml:space="preserve"> PAGE  \* Arabic  \* MERGEFORMAT </w:instrText>
    </w:r>
    <w:r w:rsidRPr="00D71E39">
      <w:rPr>
        <w:sz w:val="20"/>
        <w:szCs w:val="20"/>
        <w:lang w:val="fr-BE"/>
      </w:rPr>
      <w:fldChar w:fldCharType="separate"/>
    </w:r>
    <w:r w:rsidRPr="002217C7">
      <w:rPr>
        <w:sz w:val="20"/>
        <w:szCs w:val="20"/>
        <w:lang w:val="en-IE"/>
      </w:rPr>
      <w:t>7</w:t>
    </w:r>
    <w:r w:rsidRPr="00D71E39">
      <w:rPr>
        <w:sz w:val="20"/>
        <w:szCs w:val="20"/>
        <w:lang w:val="fr-BE"/>
      </w:rPr>
      <w:fldChar w:fldCharType="end"/>
    </w:r>
    <w:r w:rsidRPr="002217C7">
      <w:rPr>
        <w:sz w:val="20"/>
        <w:szCs w:val="20"/>
        <w:lang w:val="en-IE"/>
      </w:rPr>
      <w:t xml:space="preserve"> of </w:t>
    </w:r>
    <w:r w:rsidRPr="00D71E39">
      <w:rPr>
        <w:sz w:val="20"/>
        <w:szCs w:val="20"/>
        <w:lang w:val="fr-BE"/>
      </w:rPr>
      <w:fldChar w:fldCharType="begin"/>
    </w:r>
    <w:r w:rsidRPr="002217C7">
      <w:rPr>
        <w:sz w:val="20"/>
        <w:szCs w:val="20"/>
        <w:lang w:val="en-IE"/>
      </w:rPr>
      <w:instrText xml:space="preserve"> NUMPAGES   \* MERGEFORMAT </w:instrText>
    </w:r>
    <w:r w:rsidRPr="00D71E39">
      <w:rPr>
        <w:sz w:val="20"/>
        <w:szCs w:val="20"/>
        <w:lang w:val="fr-BE"/>
      </w:rPr>
      <w:fldChar w:fldCharType="separate"/>
    </w:r>
    <w:r w:rsidRPr="002217C7">
      <w:rPr>
        <w:sz w:val="20"/>
        <w:szCs w:val="20"/>
        <w:lang w:val="en-IE"/>
      </w:rPr>
      <w:t>16</w:t>
    </w:r>
    <w:r w:rsidRPr="00D71E39">
      <w:rPr>
        <w:sz w:val="20"/>
        <w:szCs w:val="20"/>
        <w:lang w:val="fr-BE"/>
      </w:rPr>
      <w:fldChar w:fldCharType="end"/>
    </w:r>
  </w:p>
  <w:p w14:paraId="611F6A30" w14:textId="6B070E33" w:rsidR="005D41C9" w:rsidRDefault="00ED5405" w:rsidP="002217C7">
    <w:pPr>
      <w:pStyle w:val="Footer"/>
      <w:tabs>
        <w:tab w:val="clear" w:pos="4513"/>
      </w:tabs>
    </w:pPr>
    <w:r w:rsidRPr="00D71E39">
      <w:rPr>
        <w:sz w:val="20"/>
        <w:szCs w:val="20"/>
        <w:lang w:val="fr-BE"/>
      </w:rPr>
      <w:fldChar w:fldCharType="begin"/>
    </w:r>
    <w:r w:rsidRPr="002217C7">
      <w:rPr>
        <w:sz w:val="20"/>
        <w:szCs w:val="20"/>
        <w:lang w:val="en-IE"/>
      </w:rPr>
      <w:instrText xml:space="preserve"> FILENAME   \* MERGEFORMAT </w:instrText>
    </w:r>
    <w:r w:rsidRPr="00D71E39">
      <w:rPr>
        <w:sz w:val="20"/>
        <w:szCs w:val="20"/>
        <w:lang w:val="fr-BE"/>
      </w:rPr>
      <w:fldChar w:fldCharType="separate"/>
    </w:r>
    <w:r w:rsidRPr="002217C7">
      <w:rPr>
        <w:noProof/>
        <w:sz w:val="20"/>
        <w:szCs w:val="20"/>
        <w:lang w:val="en-IE"/>
      </w:rPr>
      <w:t>e3a2_clarifications_FNLC_annex_K_en.docx</w:t>
    </w:r>
    <w:r w:rsidRPr="00D71E39">
      <w:rPr>
        <w:sz w:val="20"/>
        <w:szCs w:val="20"/>
        <w:lang w:val="fr-B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B07E" w14:textId="3406435E" w:rsidR="00ED5405" w:rsidRPr="002217C7" w:rsidRDefault="00ED5405" w:rsidP="00ED5405">
    <w:pPr>
      <w:pStyle w:val="Footer"/>
      <w:tabs>
        <w:tab w:val="clear" w:pos="4513"/>
        <w:tab w:val="clear" w:pos="9026"/>
        <w:tab w:val="right" w:pos="13750"/>
      </w:tabs>
      <w:rPr>
        <w:sz w:val="20"/>
        <w:szCs w:val="20"/>
        <w:lang w:val="en-IE"/>
      </w:rPr>
    </w:pPr>
    <w:r w:rsidRPr="002217C7">
      <w:rPr>
        <w:b/>
        <w:bCs/>
        <w:sz w:val="20"/>
        <w:szCs w:val="20"/>
        <w:lang w:val="en-IE"/>
      </w:rPr>
      <w:t>202</w:t>
    </w:r>
    <w:r w:rsidR="008A487D">
      <w:rPr>
        <w:b/>
        <w:bCs/>
        <w:sz w:val="20"/>
        <w:szCs w:val="20"/>
        <w:lang w:val="en-IE"/>
      </w:rPr>
      <w:t>5</w:t>
    </w:r>
    <w:r w:rsidRPr="002217C7">
      <w:rPr>
        <w:b/>
        <w:bCs/>
        <w:sz w:val="20"/>
        <w:szCs w:val="20"/>
        <w:lang w:val="en-IE"/>
      </w:rPr>
      <w:tab/>
    </w:r>
    <w:r w:rsidRPr="002217C7">
      <w:rPr>
        <w:sz w:val="20"/>
        <w:szCs w:val="20"/>
        <w:lang w:val="en-IE"/>
      </w:rPr>
      <w:t xml:space="preserve">Page </w:t>
    </w:r>
    <w:r w:rsidRPr="00D71E39">
      <w:rPr>
        <w:sz w:val="20"/>
        <w:szCs w:val="20"/>
        <w:lang w:val="fr-BE"/>
      </w:rPr>
      <w:fldChar w:fldCharType="begin"/>
    </w:r>
    <w:r w:rsidRPr="002217C7">
      <w:rPr>
        <w:sz w:val="20"/>
        <w:szCs w:val="20"/>
        <w:lang w:val="en-IE"/>
      </w:rPr>
      <w:instrText xml:space="preserve"> PAGE  \* Arabic  \* MERGEFORMAT </w:instrText>
    </w:r>
    <w:r w:rsidRPr="00D71E39">
      <w:rPr>
        <w:sz w:val="20"/>
        <w:szCs w:val="20"/>
        <w:lang w:val="fr-BE"/>
      </w:rPr>
      <w:fldChar w:fldCharType="separate"/>
    </w:r>
    <w:r w:rsidRPr="002217C7">
      <w:rPr>
        <w:sz w:val="20"/>
        <w:szCs w:val="20"/>
        <w:lang w:val="en-IE"/>
      </w:rPr>
      <w:t>7</w:t>
    </w:r>
    <w:r w:rsidRPr="00D71E39">
      <w:rPr>
        <w:sz w:val="20"/>
        <w:szCs w:val="20"/>
        <w:lang w:val="fr-BE"/>
      </w:rPr>
      <w:fldChar w:fldCharType="end"/>
    </w:r>
    <w:r w:rsidRPr="002217C7">
      <w:rPr>
        <w:sz w:val="20"/>
        <w:szCs w:val="20"/>
        <w:lang w:val="en-IE"/>
      </w:rPr>
      <w:t xml:space="preserve"> of </w:t>
    </w:r>
    <w:r w:rsidRPr="00D71E39">
      <w:rPr>
        <w:sz w:val="20"/>
        <w:szCs w:val="20"/>
        <w:lang w:val="fr-BE"/>
      </w:rPr>
      <w:fldChar w:fldCharType="begin"/>
    </w:r>
    <w:r w:rsidRPr="002217C7">
      <w:rPr>
        <w:sz w:val="20"/>
        <w:szCs w:val="20"/>
        <w:lang w:val="en-IE"/>
      </w:rPr>
      <w:instrText xml:space="preserve"> NUMPAGES   \* MERGEFORMAT </w:instrText>
    </w:r>
    <w:r w:rsidRPr="00D71E39">
      <w:rPr>
        <w:sz w:val="20"/>
        <w:szCs w:val="20"/>
        <w:lang w:val="fr-BE"/>
      </w:rPr>
      <w:fldChar w:fldCharType="separate"/>
    </w:r>
    <w:r w:rsidRPr="002217C7">
      <w:rPr>
        <w:sz w:val="20"/>
        <w:szCs w:val="20"/>
        <w:lang w:val="en-IE"/>
      </w:rPr>
      <w:t>16</w:t>
    </w:r>
    <w:r w:rsidRPr="00D71E39">
      <w:rPr>
        <w:sz w:val="20"/>
        <w:szCs w:val="20"/>
        <w:lang w:val="fr-BE"/>
      </w:rPr>
      <w:fldChar w:fldCharType="end"/>
    </w:r>
  </w:p>
  <w:p w14:paraId="52088FE5" w14:textId="73E5BFAD" w:rsidR="007B55DA" w:rsidRDefault="00ED5405" w:rsidP="002217C7">
    <w:pPr>
      <w:pStyle w:val="Footer"/>
      <w:tabs>
        <w:tab w:val="clear" w:pos="4513"/>
      </w:tabs>
    </w:pPr>
    <w:r w:rsidRPr="00D71E39">
      <w:rPr>
        <w:sz w:val="20"/>
        <w:szCs w:val="20"/>
        <w:lang w:val="fr-BE"/>
      </w:rPr>
      <w:fldChar w:fldCharType="begin"/>
    </w:r>
    <w:r w:rsidRPr="002217C7">
      <w:rPr>
        <w:sz w:val="20"/>
        <w:szCs w:val="20"/>
        <w:lang w:val="en-IE"/>
      </w:rPr>
      <w:instrText xml:space="preserve"> FILENAME   \* MERGEFORMAT </w:instrText>
    </w:r>
    <w:r w:rsidRPr="00D71E39">
      <w:rPr>
        <w:sz w:val="20"/>
        <w:szCs w:val="20"/>
        <w:lang w:val="fr-BE"/>
      </w:rPr>
      <w:fldChar w:fldCharType="separate"/>
    </w:r>
    <w:r w:rsidR="008A487D">
      <w:rPr>
        <w:noProof/>
        <w:sz w:val="20"/>
        <w:szCs w:val="20"/>
        <w:lang w:val="en-IE"/>
      </w:rPr>
      <w:t>e3a2_clarifications_FNLC_annex_K_en.docx</w:t>
    </w:r>
    <w:r w:rsidRPr="00D71E39">
      <w:rPr>
        <w:sz w:val="20"/>
        <w:szCs w:val="20"/>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1331" w14:textId="77777777" w:rsidR="004440A1" w:rsidRDefault="004440A1" w:rsidP="0091708B">
      <w:pPr>
        <w:spacing w:before="0" w:after="0" w:line="240" w:lineRule="auto"/>
      </w:pPr>
      <w:r>
        <w:separator/>
      </w:r>
    </w:p>
  </w:footnote>
  <w:footnote w:type="continuationSeparator" w:id="0">
    <w:p w14:paraId="6AF8D7B4" w14:textId="77777777" w:rsidR="004440A1" w:rsidRDefault="004440A1" w:rsidP="0091708B">
      <w:pPr>
        <w:spacing w:before="0" w:after="0" w:line="240" w:lineRule="auto"/>
      </w:pPr>
      <w:r>
        <w:continuationSeparator/>
      </w:r>
    </w:p>
  </w:footnote>
  <w:footnote w:type="continuationNotice" w:id="1">
    <w:p w14:paraId="021A3B3B" w14:textId="77777777" w:rsidR="004440A1" w:rsidRDefault="004440A1">
      <w:pPr>
        <w:spacing w:before="0" w:after="0" w:line="240" w:lineRule="auto"/>
      </w:pPr>
    </w:p>
  </w:footnote>
  <w:footnote w:id="2">
    <w:p w14:paraId="4D21CCD0" w14:textId="033D765B" w:rsidR="006C7834" w:rsidRPr="002831BD" w:rsidRDefault="006C7834" w:rsidP="002217C7">
      <w:pPr>
        <w:pStyle w:val="FootnoteText"/>
        <w:ind w:left="142" w:hanging="142"/>
      </w:pPr>
      <w:r>
        <w:rPr>
          <w:rStyle w:val="FootnoteReference"/>
        </w:rPr>
        <w:footnoteRef/>
      </w:r>
      <w:r w:rsidR="00ED5405">
        <w:tab/>
      </w:r>
      <w:r>
        <w:t>Article 14bis.1 reads “</w:t>
      </w:r>
      <w:r w:rsidRPr="00F340CF">
        <w:t>Where the grant takes the form, entirely or partly, of financing not linked to costs, the grant is subject to the achievement of results measured by reference to previously set milestones or through performance indicators.</w:t>
      </w:r>
      <w:r>
        <w:t>”</w:t>
      </w:r>
    </w:p>
  </w:footnote>
  <w:footnote w:id="3">
    <w:p w14:paraId="48BB2492" w14:textId="67F229D1" w:rsidR="00CE2172" w:rsidRPr="00CE2172" w:rsidRDefault="00CE2172" w:rsidP="002217C7">
      <w:pPr>
        <w:pStyle w:val="FootnoteText"/>
        <w:ind w:left="142" w:hanging="142"/>
      </w:pPr>
      <w:r>
        <w:rPr>
          <w:rStyle w:val="FootnoteReference"/>
        </w:rPr>
        <w:footnoteRef/>
      </w:r>
      <w:r w:rsidR="00ED5405">
        <w:tab/>
      </w:r>
      <w:r w:rsidR="00E20B5C">
        <w:rPr>
          <w:lang w:val="en-IE"/>
        </w:rPr>
        <w:t xml:space="preserve">Please note that in case of hybrid budget, i.e. cost-based and FNLC (see tab 1.b of Annex e3c), the </w:t>
      </w:r>
      <w:proofErr w:type="gramStart"/>
      <w:r w:rsidR="00E20B5C">
        <w:rPr>
          <w:lang w:val="en-IE"/>
        </w:rPr>
        <w:t>Third Party</w:t>
      </w:r>
      <w:proofErr w:type="gramEnd"/>
      <w:r w:rsidR="00E20B5C">
        <w:rPr>
          <w:lang w:val="en-IE"/>
        </w:rPr>
        <w:t xml:space="preserve"> Assessment is not to be considered as an output</w:t>
      </w:r>
      <w:r w:rsidR="00A9326B">
        <w:rPr>
          <w:lang w:val="en-IE"/>
        </w:rPr>
        <w:t xml:space="preserve"> for the purpose of the </w:t>
      </w:r>
      <w:proofErr w:type="spellStart"/>
      <w:r w:rsidR="00A9326B">
        <w:rPr>
          <w:lang w:val="en-IE"/>
        </w:rPr>
        <w:t>Logframe</w:t>
      </w:r>
      <w:proofErr w:type="spellEnd"/>
      <w:r w:rsidR="00A9326B">
        <w:rPr>
          <w:lang w:val="en-IE"/>
        </w:rPr>
        <w:t xml:space="preserve">. In terms of </w:t>
      </w:r>
      <w:proofErr w:type="gramStart"/>
      <w:r w:rsidR="00A9326B">
        <w:rPr>
          <w:lang w:val="en-IE"/>
        </w:rPr>
        <w:t>budget</w:t>
      </w:r>
      <w:proofErr w:type="gramEnd"/>
      <w:r w:rsidR="00A9326B">
        <w:rPr>
          <w:lang w:val="en-IE"/>
        </w:rPr>
        <w:t xml:space="preserve"> it will</w:t>
      </w:r>
      <w:r w:rsidR="00FB43B8">
        <w:rPr>
          <w:lang w:val="en-IE"/>
        </w:rPr>
        <w:t xml:space="preserve"> be</w:t>
      </w:r>
      <w:r w:rsidR="00A9326B">
        <w:rPr>
          <w:lang w:val="en-IE"/>
        </w:rPr>
        <w:t xml:space="preserve"> considered as a</w:t>
      </w:r>
      <w:r w:rsidR="00E20B5C">
        <w:rPr>
          <w:lang w:val="en-IE"/>
        </w:rPr>
        <w:t xml:space="preserve"> cost and budgeted under the heading 5 “Other costs, services”.</w:t>
      </w:r>
    </w:p>
  </w:footnote>
  <w:footnote w:id="4">
    <w:p w14:paraId="6EB042FF" w14:textId="286D0037" w:rsidR="00C85028" w:rsidRPr="00C85028" w:rsidRDefault="00C85028" w:rsidP="002217C7">
      <w:pPr>
        <w:pStyle w:val="FootnoteText"/>
        <w:ind w:left="142" w:hanging="142"/>
      </w:pPr>
      <w:r>
        <w:rPr>
          <w:rStyle w:val="FootnoteReference"/>
        </w:rPr>
        <w:footnoteRef/>
      </w:r>
      <w:r w:rsidR="00ED5405">
        <w:tab/>
      </w:r>
      <w:r>
        <w:rPr>
          <w:lang w:val="en-IE"/>
        </w:rPr>
        <w:t xml:space="preserve">Please note that in case of hybrid budget, i.e. cost-based and FNLC (see tab 1.b of Annex e3c), the </w:t>
      </w:r>
      <w:proofErr w:type="gramStart"/>
      <w:r w:rsidR="008C6172">
        <w:rPr>
          <w:lang w:val="en-IE"/>
        </w:rPr>
        <w:t>t</w:t>
      </w:r>
      <w:r>
        <w:rPr>
          <w:lang w:val="en-IE"/>
        </w:rPr>
        <w:t xml:space="preserve">hird </w:t>
      </w:r>
      <w:r w:rsidR="008C6172">
        <w:rPr>
          <w:lang w:val="en-IE"/>
        </w:rPr>
        <w:t>p</w:t>
      </w:r>
      <w:r>
        <w:rPr>
          <w:lang w:val="en-IE"/>
        </w:rPr>
        <w:t>arty</w:t>
      </w:r>
      <w:proofErr w:type="gramEnd"/>
      <w:r>
        <w:rPr>
          <w:lang w:val="en-IE"/>
        </w:rPr>
        <w:t xml:space="preserve"> </w:t>
      </w:r>
      <w:r w:rsidR="008C6172">
        <w:rPr>
          <w:lang w:val="en-IE"/>
        </w:rPr>
        <w:t>a</w:t>
      </w:r>
      <w:r>
        <w:rPr>
          <w:lang w:val="en-IE"/>
        </w:rPr>
        <w:t xml:space="preserve">ssessment is not to be considered as an output </w:t>
      </w:r>
      <w:r w:rsidR="00FC0145">
        <w:rPr>
          <w:lang w:val="en-IE"/>
        </w:rPr>
        <w:t>but</w:t>
      </w:r>
      <w:r>
        <w:rPr>
          <w:lang w:val="en-IE"/>
        </w:rPr>
        <w:t xml:space="preserve"> as a cost and budgeted under the heading 5 “Other costs, services”.</w:t>
      </w:r>
    </w:p>
  </w:footnote>
  <w:footnote w:id="5">
    <w:p w14:paraId="53D598A8" w14:textId="27ABD1F6" w:rsidR="006C735D" w:rsidRPr="006C735D" w:rsidRDefault="006C735D" w:rsidP="002217C7">
      <w:pPr>
        <w:pStyle w:val="FootnoteText"/>
        <w:ind w:left="142" w:hanging="142"/>
        <w:rPr>
          <w:lang w:val="en-IE"/>
        </w:rPr>
      </w:pPr>
      <w:r>
        <w:rPr>
          <w:rStyle w:val="FootnoteReference"/>
        </w:rPr>
        <w:footnoteRef/>
      </w:r>
      <w:r w:rsidR="00ED5405">
        <w:tab/>
      </w:r>
      <w:r>
        <w:rPr>
          <w:lang w:val="en-IE"/>
        </w:rPr>
        <w:t>Please note that in case of hybrid budget, i.e. cost-based and FNLC (see tab 1</w:t>
      </w:r>
      <w:r w:rsidR="0043747E">
        <w:rPr>
          <w:lang w:val="en-IE"/>
        </w:rPr>
        <w:t xml:space="preserve">.b of Annex e3c), the </w:t>
      </w:r>
      <w:proofErr w:type="gramStart"/>
      <w:r w:rsidR="0043747E">
        <w:rPr>
          <w:lang w:val="en-IE"/>
        </w:rPr>
        <w:t>Third Party</w:t>
      </w:r>
      <w:proofErr w:type="gramEnd"/>
      <w:r w:rsidR="0043747E">
        <w:rPr>
          <w:lang w:val="en-IE"/>
        </w:rPr>
        <w:t xml:space="preserve"> Assessment is to be considered </w:t>
      </w:r>
      <w:r w:rsidR="00FD1EAF">
        <w:rPr>
          <w:lang w:val="en-IE"/>
        </w:rPr>
        <w:t xml:space="preserve">as a cost and budgeted </w:t>
      </w:r>
      <w:r w:rsidR="0043747E">
        <w:rPr>
          <w:lang w:val="en-IE"/>
        </w:rPr>
        <w:t xml:space="preserve">under the </w:t>
      </w:r>
      <w:r w:rsidR="00FD1EAF">
        <w:rPr>
          <w:lang w:val="en-IE"/>
        </w:rPr>
        <w:t xml:space="preserve">heading </w:t>
      </w:r>
      <w:r w:rsidR="007C77F4">
        <w:rPr>
          <w:lang w:val="en-IE"/>
        </w:rPr>
        <w:t xml:space="preserve">5 </w:t>
      </w:r>
      <w:r w:rsidR="00FD1EAF">
        <w:rPr>
          <w:lang w:val="en-IE"/>
        </w:rPr>
        <w:t>“Other</w:t>
      </w:r>
      <w:r w:rsidR="007C77F4">
        <w:rPr>
          <w:lang w:val="en-IE"/>
        </w:rPr>
        <w:t xml:space="preserve"> costs</w:t>
      </w:r>
      <w:r w:rsidR="00D71063">
        <w:rPr>
          <w:lang w:val="en-IE"/>
        </w:rPr>
        <w:t>, serv</w:t>
      </w:r>
      <w:r w:rsidR="00924F7F">
        <w:rPr>
          <w:lang w:val="en-IE"/>
        </w:rPr>
        <w:t>ices</w:t>
      </w:r>
      <w:r w:rsidR="00FD1EAF">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B043" w14:textId="77777777" w:rsidR="00D71E39" w:rsidRDefault="00D71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C9E6" w14:textId="77777777" w:rsidR="00D71E39" w:rsidRDefault="00D71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CEE5" w14:textId="77777777" w:rsidR="00D71E39" w:rsidRDefault="00D71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094"/>
    <w:multiLevelType w:val="hybridMultilevel"/>
    <w:tmpl w:val="7FA69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02389E"/>
    <w:multiLevelType w:val="hybridMultilevel"/>
    <w:tmpl w:val="9866198E"/>
    <w:lvl w:ilvl="0" w:tplc="1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6A0E5E"/>
    <w:multiLevelType w:val="multilevel"/>
    <w:tmpl w:val="DDCA21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0135037"/>
    <w:multiLevelType w:val="hybridMultilevel"/>
    <w:tmpl w:val="9866198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453E1621"/>
    <w:multiLevelType w:val="hybridMultilevel"/>
    <w:tmpl w:val="64EC0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FE5187"/>
    <w:multiLevelType w:val="hybridMultilevel"/>
    <w:tmpl w:val="EC66A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E3728D"/>
    <w:multiLevelType w:val="hybridMultilevel"/>
    <w:tmpl w:val="9BBACD7A"/>
    <w:lvl w:ilvl="0" w:tplc="18090001">
      <w:start w:val="1"/>
      <w:numFmt w:val="bullet"/>
      <w:lvlText w:val=""/>
      <w:lvlJc w:val="left"/>
      <w:pPr>
        <w:ind w:left="720" w:hanging="360"/>
      </w:pPr>
      <w:rPr>
        <w:rFonts w:ascii="Symbol" w:hAnsi="Symbol" w:hint="default"/>
      </w:rPr>
    </w:lvl>
    <w:lvl w:ilvl="1" w:tplc="45FE99FA">
      <w:numFmt w:val="bullet"/>
      <w:lvlText w:val="•"/>
      <w:lvlJc w:val="left"/>
      <w:pPr>
        <w:ind w:left="1440" w:hanging="36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16E3461"/>
    <w:multiLevelType w:val="hybridMultilevel"/>
    <w:tmpl w:val="3C865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61B458D"/>
    <w:multiLevelType w:val="hybridMultilevel"/>
    <w:tmpl w:val="EDD0F026"/>
    <w:lvl w:ilvl="0" w:tplc="AF1E82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051325">
    <w:abstractNumId w:val="0"/>
  </w:num>
  <w:num w:numId="2" w16cid:durableId="1438719479">
    <w:abstractNumId w:val="7"/>
  </w:num>
  <w:num w:numId="3" w16cid:durableId="1168521066">
    <w:abstractNumId w:val="2"/>
  </w:num>
  <w:num w:numId="4" w16cid:durableId="535235185">
    <w:abstractNumId w:val="6"/>
  </w:num>
  <w:num w:numId="5" w16cid:durableId="602346068">
    <w:abstractNumId w:val="5"/>
  </w:num>
  <w:num w:numId="6" w16cid:durableId="543637461">
    <w:abstractNumId w:val="9"/>
  </w:num>
  <w:num w:numId="7" w16cid:durableId="2137290014">
    <w:abstractNumId w:val="1"/>
  </w:num>
  <w:num w:numId="8" w16cid:durableId="180240642">
    <w:abstractNumId w:val="4"/>
  </w:num>
  <w:num w:numId="9" w16cid:durableId="790437412">
    <w:abstractNumId w:val="3"/>
  </w:num>
  <w:num w:numId="10" w16cid:durableId="359747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65449"/>
    <w:rsid w:val="00003658"/>
    <w:rsid w:val="00005232"/>
    <w:rsid w:val="00011214"/>
    <w:rsid w:val="00021E21"/>
    <w:rsid w:val="00022C04"/>
    <w:rsid w:val="000246C0"/>
    <w:rsid w:val="00025F3D"/>
    <w:rsid w:val="00037A45"/>
    <w:rsid w:val="0004296F"/>
    <w:rsid w:val="000463C9"/>
    <w:rsid w:val="00056004"/>
    <w:rsid w:val="00061D82"/>
    <w:rsid w:val="00065AEC"/>
    <w:rsid w:val="00067251"/>
    <w:rsid w:val="00072853"/>
    <w:rsid w:val="00075D27"/>
    <w:rsid w:val="00084445"/>
    <w:rsid w:val="00087E59"/>
    <w:rsid w:val="00097F12"/>
    <w:rsid w:val="000A3517"/>
    <w:rsid w:val="000A61A4"/>
    <w:rsid w:val="000A7F89"/>
    <w:rsid w:val="000B005B"/>
    <w:rsid w:val="000B7024"/>
    <w:rsid w:val="000C4629"/>
    <w:rsid w:val="000D0645"/>
    <w:rsid w:val="000D545C"/>
    <w:rsid w:val="000E4E06"/>
    <w:rsid w:val="000F64B0"/>
    <w:rsid w:val="001204FA"/>
    <w:rsid w:val="00121886"/>
    <w:rsid w:val="001278F3"/>
    <w:rsid w:val="001325AF"/>
    <w:rsid w:val="00146460"/>
    <w:rsid w:val="00151B2A"/>
    <w:rsid w:val="00154E49"/>
    <w:rsid w:val="00156F18"/>
    <w:rsid w:val="00160AD1"/>
    <w:rsid w:val="00166557"/>
    <w:rsid w:val="0017400B"/>
    <w:rsid w:val="00180264"/>
    <w:rsid w:val="0018315D"/>
    <w:rsid w:val="0018361D"/>
    <w:rsid w:val="0018634B"/>
    <w:rsid w:val="00186DFD"/>
    <w:rsid w:val="00194393"/>
    <w:rsid w:val="001943D7"/>
    <w:rsid w:val="00196451"/>
    <w:rsid w:val="001A6A31"/>
    <w:rsid w:val="001B0A46"/>
    <w:rsid w:val="001B4474"/>
    <w:rsid w:val="001C6D47"/>
    <w:rsid w:val="001D4CDA"/>
    <w:rsid w:val="0021068C"/>
    <w:rsid w:val="00210F35"/>
    <w:rsid w:val="002113B3"/>
    <w:rsid w:val="00213A61"/>
    <w:rsid w:val="00216C65"/>
    <w:rsid w:val="00220D3B"/>
    <w:rsid w:val="002217C7"/>
    <w:rsid w:val="00221920"/>
    <w:rsid w:val="00222B22"/>
    <w:rsid w:val="00225B9C"/>
    <w:rsid w:val="00227EB6"/>
    <w:rsid w:val="002311BC"/>
    <w:rsid w:val="00232629"/>
    <w:rsid w:val="00244FAB"/>
    <w:rsid w:val="0024544A"/>
    <w:rsid w:val="002541D0"/>
    <w:rsid w:val="0025618C"/>
    <w:rsid w:val="002615DF"/>
    <w:rsid w:val="0026203E"/>
    <w:rsid w:val="002639BC"/>
    <w:rsid w:val="00265423"/>
    <w:rsid w:val="002658BF"/>
    <w:rsid w:val="00265BA6"/>
    <w:rsid w:val="00267BBE"/>
    <w:rsid w:val="00274A86"/>
    <w:rsid w:val="0028068C"/>
    <w:rsid w:val="00282E96"/>
    <w:rsid w:val="002831BD"/>
    <w:rsid w:val="002864AF"/>
    <w:rsid w:val="002935C3"/>
    <w:rsid w:val="00294C00"/>
    <w:rsid w:val="002A0932"/>
    <w:rsid w:val="002A1EDB"/>
    <w:rsid w:val="002B3F5D"/>
    <w:rsid w:val="002B408D"/>
    <w:rsid w:val="002B51DD"/>
    <w:rsid w:val="002B76D4"/>
    <w:rsid w:val="002C01B5"/>
    <w:rsid w:val="002C172B"/>
    <w:rsid w:val="002C2419"/>
    <w:rsid w:val="002C2ACD"/>
    <w:rsid w:val="002C2FFB"/>
    <w:rsid w:val="002C48FC"/>
    <w:rsid w:val="002C4C7D"/>
    <w:rsid w:val="002C7DDA"/>
    <w:rsid w:val="002D3D42"/>
    <w:rsid w:val="002D6E51"/>
    <w:rsid w:val="002D7BF8"/>
    <w:rsid w:val="002E3042"/>
    <w:rsid w:val="002E3EAD"/>
    <w:rsid w:val="002F7DD1"/>
    <w:rsid w:val="003013DA"/>
    <w:rsid w:val="00304F6F"/>
    <w:rsid w:val="00313E5A"/>
    <w:rsid w:val="00316B58"/>
    <w:rsid w:val="00321592"/>
    <w:rsid w:val="0032645C"/>
    <w:rsid w:val="00337D66"/>
    <w:rsid w:val="00341546"/>
    <w:rsid w:val="00342E2A"/>
    <w:rsid w:val="00346890"/>
    <w:rsid w:val="003545F8"/>
    <w:rsid w:val="0036432B"/>
    <w:rsid w:val="00367D32"/>
    <w:rsid w:val="00371221"/>
    <w:rsid w:val="003732FE"/>
    <w:rsid w:val="003766FA"/>
    <w:rsid w:val="00377771"/>
    <w:rsid w:val="003848C3"/>
    <w:rsid w:val="00385929"/>
    <w:rsid w:val="003A1210"/>
    <w:rsid w:val="003A28D6"/>
    <w:rsid w:val="003A31B4"/>
    <w:rsid w:val="003A33D0"/>
    <w:rsid w:val="003A6EF7"/>
    <w:rsid w:val="003A7C48"/>
    <w:rsid w:val="003B0F90"/>
    <w:rsid w:val="003B48D5"/>
    <w:rsid w:val="003B770F"/>
    <w:rsid w:val="003E787C"/>
    <w:rsid w:val="00403072"/>
    <w:rsid w:val="004052E4"/>
    <w:rsid w:val="00405D66"/>
    <w:rsid w:val="0040716D"/>
    <w:rsid w:val="00411A5F"/>
    <w:rsid w:val="00414F38"/>
    <w:rsid w:val="004151E3"/>
    <w:rsid w:val="004156F1"/>
    <w:rsid w:val="00415890"/>
    <w:rsid w:val="00425302"/>
    <w:rsid w:val="0042690D"/>
    <w:rsid w:val="0043379E"/>
    <w:rsid w:val="00433B89"/>
    <w:rsid w:val="0043747E"/>
    <w:rsid w:val="00443E77"/>
    <w:rsid w:val="004440A1"/>
    <w:rsid w:val="00456CC5"/>
    <w:rsid w:val="0046163F"/>
    <w:rsid w:val="004753DE"/>
    <w:rsid w:val="00480B6B"/>
    <w:rsid w:val="00482730"/>
    <w:rsid w:val="00490A8E"/>
    <w:rsid w:val="00491613"/>
    <w:rsid w:val="004954CB"/>
    <w:rsid w:val="00495B0C"/>
    <w:rsid w:val="0049672C"/>
    <w:rsid w:val="00497032"/>
    <w:rsid w:val="004B2073"/>
    <w:rsid w:val="004B239B"/>
    <w:rsid w:val="004B51FC"/>
    <w:rsid w:val="004C6AA8"/>
    <w:rsid w:val="004D0FF4"/>
    <w:rsid w:val="004D70F3"/>
    <w:rsid w:val="004E1786"/>
    <w:rsid w:val="004E27D0"/>
    <w:rsid w:val="004E5CC2"/>
    <w:rsid w:val="004F434E"/>
    <w:rsid w:val="00500791"/>
    <w:rsid w:val="005054DB"/>
    <w:rsid w:val="005117BC"/>
    <w:rsid w:val="0052669E"/>
    <w:rsid w:val="00541876"/>
    <w:rsid w:val="00542CCB"/>
    <w:rsid w:val="00544D64"/>
    <w:rsid w:val="00546DFF"/>
    <w:rsid w:val="005509DC"/>
    <w:rsid w:val="00551182"/>
    <w:rsid w:val="00557863"/>
    <w:rsid w:val="0056114B"/>
    <w:rsid w:val="00570A63"/>
    <w:rsid w:val="00571165"/>
    <w:rsid w:val="005841A7"/>
    <w:rsid w:val="00590905"/>
    <w:rsid w:val="0059500A"/>
    <w:rsid w:val="005A1AE4"/>
    <w:rsid w:val="005A3CAE"/>
    <w:rsid w:val="005B180B"/>
    <w:rsid w:val="005B54DB"/>
    <w:rsid w:val="005C099F"/>
    <w:rsid w:val="005D1D0D"/>
    <w:rsid w:val="005D21F1"/>
    <w:rsid w:val="005D3847"/>
    <w:rsid w:val="005D41C9"/>
    <w:rsid w:val="005D7FE3"/>
    <w:rsid w:val="005E1631"/>
    <w:rsid w:val="005E273E"/>
    <w:rsid w:val="005E5D0D"/>
    <w:rsid w:val="005E701E"/>
    <w:rsid w:val="005F2ABD"/>
    <w:rsid w:val="005F54F7"/>
    <w:rsid w:val="005F793B"/>
    <w:rsid w:val="00607FCC"/>
    <w:rsid w:val="00611670"/>
    <w:rsid w:val="0061284B"/>
    <w:rsid w:val="0061447A"/>
    <w:rsid w:val="00615611"/>
    <w:rsid w:val="006175C6"/>
    <w:rsid w:val="00620F9B"/>
    <w:rsid w:val="00632994"/>
    <w:rsid w:val="00640682"/>
    <w:rsid w:val="00650F88"/>
    <w:rsid w:val="00651A81"/>
    <w:rsid w:val="00661E2E"/>
    <w:rsid w:val="006623C3"/>
    <w:rsid w:val="00662BBF"/>
    <w:rsid w:val="00662C7C"/>
    <w:rsid w:val="006641A5"/>
    <w:rsid w:val="00665413"/>
    <w:rsid w:val="00666584"/>
    <w:rsid w:val="0067271B"/>
    <w:rsid w:val="00674BEA"/>
    <w:rsid w:val="00675DE1"/>
    <w:rsid w:val="00680D09"/>
    <w:rsid w:val="006916AF"/>
    <w:rsid w:val="006947D9"/>
    <w:rsid w:val="006B414D"/>
    <w:rsid w:val="006C0127"/>
    <w:rsid w:val="006C2AE0"/>
    <w:rsid w:val="006C389E"/>
    <w:rsid w:val="006C735D"/>
    <w:rsid w:val="006C7834"/>
    <w:rsid w:val="006C7CD0"/>
    <w:rsid w:val="006D16EC"/>
    <w:rsid w:val="006D705B"/>
    <w:rsid w:val="006E15A0"/>
    <w:rsid w:val="006E28B0"/>
    <w:rsid w:val="006E693D"/>
    <w:rsid w:val="006E7E9A"/>
    <w:rsid w:val="006F7E7F"/>
    <w:rsid w:val="00703261"/>
    <w:rsid w:val="0070526A"/>
    <w:rsid w:val="0070564E"/>
    <w:rsid w:val="00706071"/>
    <w:rsid w:val="00710290"/>
    <w:rsid w:val="007111E0"/>
    <w:rsid w:val="00716CAA"/>
    <w:rsid w:val="0072032C"/>
    <w:rsid w:val="00726084"/>
    <w:rsid w:val="00733BC2"/>
    <w:rsid w:val="0073460B"/>
    <w:rsid w:val="00743BDD"/>
    <w:rsid w:val="0074432C"/>
    <w:rsid w:val="0074518E"/>
    <w:rsid w:val="00745226"/>
    <w:rsid w:val="00747897"/>
    <w:rsid w:val="00752E72"/>
    <w:rsid w:val="00753056"/>
    <w:rsid w:val="00753057"/>
    <w:rsid w:val="007662D6"/>
    <w:rsid w:val="00770F73"/>
    <w:rsid w:val="00774F10"/>
    <w:rsid w:val="007767FD"/>
    <w:rsid w:val="00782DC1"/>
    <w:rsid w:val="007845F3"/>
    <w:rsid w:val="00785395"/>
    <w:rsid w:val="00786A5F"/>
    <w:rsid w:val="00792D5B"/>
    <w:rsid w:val="0079715B"/>
    <w:rsid w:val="007B19FF"/>
    <w:rsid w:val="007B1B91"/>
    <w:rsid w:val="007B32FA"/>
    <w:rsid w:val="007B4A12"/>
    <w:rsid w:val="007B55DA"/>
    <w:rsid w:val="007C124B"/>
    <w:rsid w:val="007C77F4"/>
    <w:rsid w:val="007D2AB9"/>
    <w:rsid w:val="007D775A"/>
    <w:rsid w:val="007E1567"/>
    <w:rsid w:val="007E4953"/>
    <w:rsid w:val="007E4D1E"/>
    <w:rsid w:val="007E7D58"/>
    <w:rsid w:val="0080053A"/>
    <w:rsid w:val="008014DB"/>
    <w:rsid w:val="00822B7A"/>
    <w:rsid w:val="00826C67"/>
    <w:rsid w:val="00827132"/>
    <w:rsid w:val="00830D72"/>
    <w:rsid w:val="00830DEE"/>
    <w:rsid w:val="00833626"/>
    <w:rsid w:val="00833A20"/>
    <w:rsid w:val="00836483"/>
    <w:rsid w:val="00843537"/>
    <w:rsid w:val="0084729A"/>
    <w:rsid w:val="008476B3"/>
    <w:rsid w:val="00850CD1"/>
    <w:rsid w:val="0085554A"/>
    <w:rsid w:val="00855C2F"/>
    <w:rsid w:val="00860F30"/>
    <w:rsid w:val="008625C8"/>
    <w:rsid w:val="00862EC9"/>
    <w:rsid w:val="00865449"/>
    <w:rsid w:val="00865889"/>
    <w:rsid w:val="00867188"/>
    <w:rsid w:val="00867258"/>
    <w:rsid w:val="00873300"/>
    <w:rsid w:val="008766A5"/>
    <w:rsid w:val="00876E45"/>
    <w:rsid w:val="00882388"/>
    <w:rsid w:val="0088284F"/>
    <w:rsid w:val="00894E52"/>
    <w:rsid w:val="00895FF4"/>
    <w:rsid w:val="00896349"/>
    <w:rsid w:val="008A487D"/>
    <w:rsid w:val="008A694F"/>
    <w:rsid w:val="008B23B7"/>
    <w:rsid w:val="008B4091"/>
    <w:rsid w:val="008C4697"/>
    <w:rsid w:val="008C6172"/>
    <w:rsid w:val="008C7EF8"/>
    <w:rsid w:val="008D258B"/>
    <w:rsid w:val="008E3377"/>
    <w:rsid w:val="008F1624"/>
    <w:rsid w:val="008F35BC"/>
    <w:rsid w:val="008F389F"/>
    <w:rsid w:val="008F47BE"/>
    <w:rsid w:val="008F5C14"/>
    <w:rsid w:val="008F7371"/>
    <w:rsid w:val="008F7A9E"/>
    <w:rsid w:val="009055DC"/>
    <w:rsid w:val="009120E8"/>
    <w:rsid w:val="0091581C"/>
    <w:rsid w:val="0091708B"/>
    <w:rsid w:val="0092009F"/>
    <w:rsid w:val="00921BE4"/>
    <w:rsid w:val="00924F7F"/>
    <w:rsid w:val="009254BF"/>
    <w:rsid w:val="00927613"/>
    <w:rsid w:val="00943AE5"/>
    <w:rsid w:val="00945994"/>
    <w:rsid w:val="00950F32"/>
    <w:rsid w:val="009515C5"/>
    <w:rsid w:val="0096383B"/>
    <w:rsid w:val="00963C58"/>
    <w:rsid w:val="009753CA"/>
    <w:rsid w:val="00976C8A"/>
    <w:rsid w:val="00986F87"/>
    <w:rsid w:val="009876AE"/>
    <w:rsid w:val="00987FCB"/>
    <w:rsid w:val="0099196C"/>
    <w:rsid w:val="00992FCD"/>
    <w:rsid w:val="00994D25"/>
    <w:rsid w:val="00994E35"/>
    <w:rsid w:val="009972A7"/>
    <w:rsid w:val="009A24B3"/>
    <w:rsid w:val="009A4454"/>
    <w:rsid w:val="009B1DC0"/>
    <w:rsid w:val="009B2918"/>
    <w:rsid w:val="009B3217"/>
    <w:rsid w:val="009B4694"/>
    <w:rsid w:val="009D0428"/>
    <w:rsid w:val="009D1C6C"/>
    <w:rsid w:val="009D30D6"/>
    <w:rsid w:val="009D4C99"/>
    <w:rsid w:val="009E11ED"/>
    <w:rsid w:val="00A04CA2"/>
    <w:rsid w:val="00A06685"/>
    <w:rsid w:val="00A16CDD"/>
    <w:rsid w:val="00A20A5E"/>
    <w:rsid w:val="00A2220C"/>
    <w:rsid w:val="00A2244A"/>
    <w:rsid w:val="00A26DE5"/>
    <w:rsid w:val="00A26EF9"/>
    <w:rsid w:val="00A415F4"/>
    <w:rsid w:val="00A4206D"/>
    <w:rsid w:val="00A43F91"/>
    <w:rsid w:val="00A53C41"/>
    <w:rsid w:val="00A62323"/>
    <w:rsid w:val="00A644F0"/>
    <w:rsid w:val="00A6568E"/>
    <w:rsid w:val="00A7471A"/>
    <w:rsid w:val="00A75740"/>
    <w:rsid w:val="00A8175D"/>
    <w:rsid w:val="00A82441"/>
    <w:rsid w:val="00A82F52"/>
    <w:rsid w:val="00A85293"/>
    <w:rsid w:val="00A85763"/>
    <w:rsid w:val="00A9326B"/>
    <w:rsid w:val="00A9495A"/>
    <w:rsid w:val="00AA6CC9"/>
    <w:rsid w:val="00AB246B"/>
    <w:rsid w:val="00AC1F8E"/>
    <w:rsid w:val="00AC6937"/>
    <w:rsid w:val="00AD12DD"/>
    <w:rsid w:val="00AD5B32"/>
    <w:rsid w:val="00AD7C38"/>
    <w:rsid w:val="00AE15DA"/>
    <w:rsid w:val="00AE2C7B"/>
    <w:rsid w:val="00AE4FA0"/>
    <w:rsid w:val="00AF175D"/>
    <w:rsid w:val="00AF1C3B"/>
    <w:rsid w:val="00AF705D"/>
    <w:rsid w:val="00B002E7"/>
    <w:rsid w:val="00B04011"/>
    <w:rsid w:val="00B06DBA"/>
    <w:rsid w:val="00B07502"/>
    <w:rsid w:val="00B161C3"/>
    <w:rsid w:val="00B167AF"/>
    <w:rsid w:val="00B16F7B"/>
    <w:rsid w:val="00B217BA"/>
    <w:rsid w:val="00B21FF7"/>
    <w:rsid w:val="00B2468C"/>
    <w:rsid w:val="00B25F2F"/>
    <w:rsid w:val="00B26021"/>
    <w:rsid w:val="00B3414E"/>
    <w:rsid w:val="00B46588"/>
    <w:rsid w:val="00B547E2"/>
    <w:rsid w:val="00B63377"/>
    <w:rsid w:val="00B65A6D"/>
    <w:rsid w:val="00B739A0"/>
    <w:rsid w:val="00B8068E"/>
    <w:rsid w:val="00B81322"/>
    <w:rsid w:val="00B90537"/>
    <w:rsid w:val="00B91026"/>
    <w:rsid w:val="00B9291D"/>
    <w:rsid w:val="00B9350F"/>
    <w:rsid w:val="00B96764"/>
    <w:rsid w:val="00B97AC8"/>
    <w:rsid w:val="00BA078D"/>
    <w:rsid w:val="00BA518E"/>
    <w:rsid w:val="00BA7078"/>
    <w:rsid w:val="00BA708D"/>
    <w:rsid w:val="00BB352C"/>
    <w:rsid w:val="00BB3C88"/>
    <w:rsid w:val="00BB7CF7"/>
    <w:rsid w:val="00BC0617"/>
    <w:rsid w:val="00BC74FF"/>
    <w:rsid w:val="00BE0971"/>
    <w:rsid w:val="00BE169E"/>
    <w:rsid w:val="00BE1A01"/>
    <w:rsid w:val="00BE1CA0"/>
    <w:rsid w:val="00BE31D4"/>
    <w:rsid w:val="00BE4045"/>
    <w:rsid w:val="00BE5BDF"/>
    <w:rsid w:val="00BF1122"/>
    <w:rsid w:val="00BF2964"/>
    <w:rsid w:val="00BF3015"/>
    <w:rsid w:val="00C00C12"/>
    <w:rsid w:val="00C07989"/>
    <w:rsid w:val="00C20799"/>
    <w:rsid w:val="00C20E94"/>
    <w:rsid w:val="00C301C6"/>
    <w:rsid w:val="00C30D89"/>
    <w:rsid w:val="00C339DE"/>
    <w:rsid w:val="00C33B8D"/>
    <w:rsid w:val="00C55678"/>
    <w:rsid w:val="00C56E65"/>
    <w:rsid w:val="00C66A26"/>
    <w:rsid w:val="00C72E3B"/>
    <w:rsid w:val="00C74A7A"/>
    <w:rsid w:val="00C75BCC"/>
    <w:rsid w:val="00C80302"/>
    <w:rsid w:val="00C83724"/>
    <w:rsid w:val="00C85028"/>
    <w:rsid w:val="00C94C7B"/>
    <w:rsid w:val="00C95DC8"/>
    <w:rsid w:val="00C96328"/>
    <w:rsid w:val="00CA1636"/>
    <w:rsid w:val="00CA3CFC"/>
    <w:rsid w:val="00CA4BA8"/>
    <w:rsid w:val="00CA587A"/>
    <w:rsid w:val="00CA763E"/>
    <w:rsid w:val="00CB2BAC"/>
    <w:rsid w:val="00CB6F9F"/>
    <w:rsid w:val="00CB73F2"/>
    <w:rsid w:val="00CC111B"/>
    <w:rsid w:val="00CC5CC3"/>
    <w:rsid w:val="00CC69B3"/>
    <w:rsid w:val="00CD1D96"/>
    <w:rsid w:val="00CE2172"/>
    <w:rsid w:val="00CE2D8E"/>
    <w:rsid w:val="00CE4319"/>
    <w:rsid w:val="00CE716B"/>
    <w:rsid w:val="00CF1956"/>
    <w:rsid w:val="00CF1E0E"/>
    <w:rsid w:val="00CF6BE3"/>
    <w:rsid w:val="00D03084"/>
    <w:rsid w:val="00D22EBC"/>
    <w:rsid w:val="00D24471"/>
    <w:rsid w:val="00D26ADB"/>
    <w:rsid w:val="00D30710"/>
    <w:rsid w:val="00D374AA"/>
    <w:rsid w:val="00D4005D"/>
    <w:rsid w:val="00D44141"/>
    <w:rsid w:val="00D46241"/>
    <w:rsid w:val="00D569CA"/>
    <w:rsid w:val="00D61280"/>
    <w:rsid w:val="00D6240C"/>
    <w:rsid w:val="00D71063"/>
    <w:rsid w:val="00D71E39"/>
    <w:rsid w:val="00D74950"/>
    <w:rsid w:val="00D75AC9"/>
    <w:rsid w:val="00D75EA5"/>
    <w:rsid w:val="00D86310"/>
    <w:rsid w:val="00D90998"/>
    <w:rsid w:val="00D91B34"/>
    <w:rsid w:val="00D9510F"/>
    <w:rsid w:val="00DA53DC"/>
    <w:rsid w:val="00DA62B2"/>
    <w:rsid w:val="00DB459A"/>
    <w:rsid w:val="00DC4FE9"/>
    <w:rsid w:val="00DC79B6"/>
    <w:rsid w:val="00DD0B48"/>
    <w:rsid w:val="00DD0F73"/>
    <w:rsid w:val="00DD1313"/>
    <w:rsid w:val="00DD1750"/>
    <w:rsid w:val="00DD5C27"/>
    <w:rsid w:val="00DE126D"/>
    <w:rsid w:val="00DE3D3F"/>
    <w:rsid w:val="00DF04D1"/>
    <w:rsid w:val="00DF44D8"/>
    <w:rsid w:val="00E00589"/>
    <w:rsid w:val="00E03C2D"/>
    <w:rsid w:val="00E03C7D"/>
    <w:rsid w:val="00E05B0C"/>
    <w:rsid w:val="00E20058"/>
    <w:rsid w:val="00E20B5C"/>
    <w:rsid w:val="00E21E37"/>
    <w:rsid w:val="00E32353"/>
    <w:rsid w:val="00E34C44"/>
    <w:rsid w:val="00E40636"/>
    <w:rsid w:val="00E431BF"/>
    <w:rsid w:val="00E4370C"/>
    <w:rsid w:val="00E46767"/>
    <w:rsid w:val="00E46C8D"/>
    <w:rsid w:val="00E502C8"/>
    <w:rsid w:val="00E653FB"/>
    <w:rsid w:val="00E710FB"/>
    <w:rsid w:val="00E716C3"/>
    <w:rsid w:val="00E83E8E"/>
    <w:rsid w:val="00E8448E"/>
    <w:rsid w:val="00E92CE2"/>
    <w:rsid w:val="00E94381"/>
    <w:rsid w:val="00E95ABB"/>
    <w:rsid w:val="00E963A4"/>
    <w:rsid w:val="00E97362"/>
    <w:rsid w:val="00EA066C"/>
    <w:rsid w:val="00EA503A"/>
    <w:rsid w:val="00EA56DB"/>
    <w:rsid w:val="00EA65BD"/>
    <w:rsid w:val="00EA6DF2"/>
    <w:rsid w:val="00EB4D4D"/>
    <w:rsid w:val="00EB55E9"/>
    <w:rsid w:val="00EB719E"/>
    <w:rsid w:val="00EC039B"/>
    <w:rsid w:val="00EC14E6"/>
    <w:rsid w:val="00EC4845"/>
    <w:rsid w:val="00ED5405"/>
    <w:rsid w:val="00EE127C"/>
    <w:rsid w:val="00EE38E9"/>
    <w:rsid w:val="00EF0B1B"/>
    <w:rsid w:val="00EF2810"/>
    <w:rsid w:val="00F03724"/>
    <w:rsid w:val="00F0388F"/>
    <w:rsid w:val="00F078C1"/>
    <w:rsid w:val="00F12894"/>
    <w:rsid w:val="00F12BDE"/>
    <w:rsid w:val="00F1589F"/>
    <w:rsid w:val="00F158C4"/>
    <w:rsid w:val="00F16216"/>
    <w:rsid w:val="00F178A7"/>
    <w:rsid w:val="00F262CE"/>
    <w:rsid w:val="00F27DDA"/>
    <w:rsid w:val="00F339BD"/>
    <w:rsid w:val="00F340CF"/>
    <w:rsid w:val="00F4203D"/>
    <w:rsid w:val="00F57928"/>
    <w:rsid w:val="00F6036E"/>
    <w:rsid w:val="00F614D6"/>
    <w:rsid w:val="00F70D4F"/>
    <w:rsid w:val="00F70E15"/>
    <w:rsid w:val="00F717F1"/>
    <w:rsid w:val="00F77D69"/>
    <w:rsid w:val="00F80539"/>
    <w:rsid w:val="00F827C2"/>
    <w:rsid w:val="00F85392"/>
    <w:rsid w:val="00F87916"/>
    <w:rsid w:val="00F903F6"/>
    <w:rsid w:val="00F95B1A"/>
    <w:rsid w:val="00F978DF"/>
    <w:rsid w:val="00FA0C27"/>
    <w:rsid w:val="00FA0E60"/>
    <w:rsid w:val="00FB266F"/>
    <w:rsid w:val="00FB43B8"/>
    <w:rsid w:val="00FB7C19"/>
    <w:rsid w:val="00FC0145"/>
    <w:rsid w:val="00FC7FCD"/>
    <w:rsid w:val="00FD1EAF"/>
    <w:rsid w:val="00FD2722"/>
    <w:rsid w:val="00FD5D2A"/>
    <w:rsid w:val="00FD64B2"/>
    <w:rsid w:val="00FD7B1F"/>
    <w:rsid w:val="00FE55DB"/>
    <w:rsid w:val="00FF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0F24"/>
  <w15:chartTrackingRefBased/>
  <w15:docId w15:val="{4B3BC27E-85E6-4C7F-8CEE-A6567D0A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58"/>
    <w:pPr>
      <w:spacing w:before="60" w:after="100"/>
      <w:jc w:val="both"/>
    </w:pPr>
    <w:rPr>
      <w:rFonts w:ascii="Times New Roman" w:hAnsi="Times New Roman"/>
    </w:rPr>
  </w:style>
  <w:style w:type="paragraph" w:styleId="Heading1">
    <w:name w:val="heading 1"/>
    <w:basedOn w:val="Normal"/>
    <w:next w:val="Normal"/>
    <w:link w:val="Heading1Char"/>
    <w:uiPriority w:val="9"/>
    <w:qFormat/>
    <w:rsid w:val="0091708B"/>
    <w:pPr>
      <w:keepNext/>
      <w:keepLines/>
      <w:spacing w:before="240" w:after="0"/>
      <w:outlineLvl w:val="0"/>
    </w:pPr>
    <w:rPr>
      <w:rFonts w:eastAsiaTheme="majorEastAsia"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Table of contents numbered"/>
    <w:basedOn w:val="Normal"/>
    <w:link w:val="ListParagraphChar"/>
    <w:uiPriority w:val="34"/>
    <w:qFormat/>
    <w:rsid w:val="00651A81"/>
    <w:pPr>
      <w:ind w:left="720"/>
      <w:contextualSpacing/>
    </w:pPr>
  </w:style>
  <w:style w:type="paragraph" w:styleId="Quote">
    <w:name w:val="Quote"/>
    <w:basedOn w:val="Normal"/>
    <w:next w:val="Normal"/>
    <w:link w:val="QuoteChar"/>
    <w:uiPriority w:val="29"/>
    <w:qFormat/>
    <w:rsid w:val="00AE4FA0"/>
    <w:pPr>
      <w:spacing w:before="200" w:after="160" w:line="240" w:lineRule="auto"/>
      <w:ind w:left="864" w:right="864"/>
      <w:jc w:val="center"/>
    </w:pPr>
    <w:rPr>
      <w:rFonts w:eastAsia="Times New Roman" w:cs="Times New Roman"/>
      <w:i/>
      <w:iCs/>
      <w:color w:val="404040" w:themeColor="text1" w:themeTint="BF"/>
      <w:kern w:val="0"/>
      <w:sz w:val="24"/>
      <w:szCs w:val="20"/>
      <w14:ligatures w14:val="none"/>
    </w:rPr>
  </w:style>
  <w:style w:type="character" w:customStyle="1" w:styleId="QuoteChar">
    <w:name w:val="Quote Char"/>
    <w:basedOn w:val="DefaultParagraphFont"/>
    <w:link w:val="Quote"/>
    <w:uiPriority w:val="29"/>
    <w:rsid w:val="00AE4FA0"/>
    <w:rPr>
      <w:rFonts w:ascii="Times New Roman" w:eastAsia="Times New Roman" w:hAnsi="Times New Roman" w:cs="Times New Roman"/>
      <w:i/>
      <w:iCs/>
      <w:color w:val="404040" w:themeColor="text1" w:themeTint="BF"/>
      <w:kern w:val="0"/>
      <w:sz w:val="24"/>
      <w:szCs w:val="20"/>
      <w14:ligatures w14:val="none"/>
    </w:rPr>
  </w:style>
  <w:style w:type="character" w:customStyle="1" w:styleId="Heading1Char">
    <w:name w:val="Heading 1 Char"/>
    <w:basedOn w:val="DefaultParagraphFont"/>
    <w:link w:val="Heading1"/>
    <w:uiPriority w:val="9"/>
    <w:rsid w:val="0091708B"/>
    <w:rPr>
      <w:rFonts w:ascii="Times New Roman" w:eastAsiaTheme="majorEastAsia" w:hAnsi="Times New Roman" w:cstheme="majorBidi"/>
      <w:b/>
      <w:color w:val="2F5496" w:themeColor="accent1" w:themeShade="BF"/>
      <w:sz w:val="28"/>
      <w:szCs w:val="32"/>
    </w:rPr>
  </w:style>
  <w:style w:type="paragraph" w:styleId="Header">
    <w:name w:val="header"/>
    <w:basedOn w:val="Normal"/>
    <w:link w:val="HeaderChar"/>
    <w:uiPriority w:val="99"/>
    <w:unhideWhenUsed/>
    <w:rsid w:val="0091708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708B"/>
    <w:rPr>
      <w:rFonts w:ascii="Times New Roman" w:hAnsi="Times New Roman"/>
    </w:rPr>
  </w:style>
  <w:style w:type="paragraph" w:styleId="Footer">
    <w:name w:val="footer"/>
    <w:basedOn w:val="Normal"/>
    <w:link w:val="FooterChar"/>
    <w:unhideWhenUsed/>
    <w:rsid w:val="0091708B"/>
    <w:pPr>
      <w:tabs>
        <w:tab w:val="center" w:pos="4513"/>
        <w:tab w:val="right" w:pos="9026"/>
      </w:tabs>
      <w:spacing w:before="0" w:after="0" w:line="240" w:lineRule="auto"/>
    </w:pPr>
  </w:style>
  <w:style w:type="character" w:customStyle="1" w:styleId="FooterChar">
    <w:name w:val="Footer Char"/>
    <w:basedOn w:val="DefaultParagraphFont"/>
    <w:link w:val="Footer"/>
    <w:rsid w:val="0091708B"/>
    <w:rPr>
      <w:rFonts w:ascii="Times New Roman" w:hAnsi="Times New Roman"/>
    </w:rPr>
  </w:style>
  <w:style w:type="character" w:styleId="CommentReference">
    <w:name w:val="annotation reference"/>
    <w:basedOn w:val="DefaultParagraphFont"/>
    <w:uiPriority w:val="99"/>
    <w:semiHidden/>
    <w:unhideWhenUsed/>
    <w:rsid w:val="0091708B"/>
    <w:rPr>
      <w:sz w:val="16"/>
      <w:szCs w:val="16"/>
    </w:rPr>
  </w:style>
  <w:style w:type="paragraph" w:styleId="CommentText">
    <w:name w:val="annotation text"/>
    <w:basedOn w:val="Normal"/>
    <w:link w:val="CommentTextChar"/>
    <w:uiPriority w:val="99"/>
    <w:unhideWhenUsed/>
    <w:rsid w:val="0091708B"/>
    <w:pPr>
      <w:spacing w:line="240" w:lineRule="auto"/>
    </w:pPr>
    <w:rPr>
      <w:sz w:val="20"/>
      <w:szCs w:val="20"/>
    </w:rPr>
  </w:style>
  <w:style w:type="character" w:customStyle="1" w:styleId="CommentTextChar">
    <w:name w:val="Comment Text Char"/>
    <w:basedOn w:val="DefaultParagraphFont"/>
    <w:link w:val="CommentText"/>
    <w:uiPriority w:val="99"/>
    <w:rsid w:val="009170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708B"/>
    <w:rPr>
      <w:b/>
      <w:bCs/>
    </w:rPr>
  </w:style>
  <w:style w:type="character" w:customStyle="1" w:styleId="CommentSubjectChar">
    <w:name w:val="Comment Subject Char"/>
    <w:basedOn w:val="CommentTextChar"/>
    <w:link w:val="CommentSubject"/>
    <w:uiPriority w:val="99"/>
    <w:semiHidden/>
    <w:rsid w:val="0091708B"/>
    <w:rPr>
      <w:rFonts w:ascii="Times New Roman" w:hAnsi="Times New Roman"/>
      <w:b/>
      <w:bCs/>
      <w:sz w:val="20"/>
      <w:szCs w:val="20"/>
    </w:rPr>
  </w:style>
  <w:style w:type="character" w:customStyle="1" w:styleId="cf01">
    <w:name w:val="cf01"/>
    <w:rsid w:val="00265423"/>
    <w:rPr>
      <w:rFonts w:ascii="Segoe UI" w:hAnsi="Segoe UI" w:cs="Segoe UI" w:hint="default"/>
      <w:sz w:val="18"/>
      <w:szCs w:val="18"/>
    </w:rPr>
  </w:style>
  <w:style w:type="table" w:styleId="TableGrid">
    <w:name w:val="Table Grid"/>
    <w:basedOn w:val="TableNormal"/>
    <w:rsid w:val="00F16216"/>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A65BD"/>
  </w:style>
  <w:style w:type="character" w:customStyle="1" w:styleId="ListParagraphChar">
    <w:name w:val="List Paragraph Char"/>
    <w:aliases w:val="References Char,List1 Char,1st level - Bullet List Paragraph Char,Lettre d'introduction Char,Paragrafo elenco Char,Normal bullet 2 Char,Medium Grid 1 - Accent 21 Char,FooterText Char,Bullet list Char,Bullet List Paragraph Char"/>
    <w:link w:val="ListParagraph"/>
    <w:uiPriority w:val="34"/>
    <w:qFormat/>
    <w:locked/>
    <w:rsid w:val="00EA65BD"/>
    <w:rPr>
      <w:rFonts w:ascii="Times New Roman" w:hAnsi="Times New Roman"/>
    </w:rPr>
  </w:style>
  <w:style w:type="table" w:styleId="TableGridLight">
    <w:name w:val="Grid Table Light"/>
    <w:basedOn w:val="TableNormal"/>
    <w:uiPriority w:val="40"/>
    <w:rsid w:val="00EA65B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link w:val="CaptionChar"/>
    <w:qFormat/>
    <w:rsid w:val="002B51DD"/>
    <w:pPr>
      <w:widowControl w:val="0"/>
      <w:tabs>
        <w:tab w:val="left" w:pos="993"/>
      </w:tabs>
      <w:spacing w:before="240" w:after="0" w:line="240" w:lineRule="auto"/>
    </w:pPr>
    <w:rPr>
      <w:rFonts w:ascii="Arial" w:eastAsia="Calibri" w:hAnsi="Arial" w:cstheme="minorHAnsi"/>
      <w:bCs/>
      <w:i/>
      <w:kern w:val="0"/>
      <w:sz w:val="21"/>
    </w:rPr>
  </w:style>
  <w:style w:type="character" w:customStyle="1" w:styleId="CaptionChar">
    <w:name w:val="Caption Char"/>
    <w:link w:val="Caption"/>
    <w:rsid w:val="002B51DD"/>
    <w:rPr>
      <w:rFonts w:ascii="Arial" w:eastAsia="Calibri" w:hAnsi="Arial" w:cstheme="minorHAnsi"/>
      <w:bCs/>
      <w:i/>
      <w:kern w:val="0"/>
      <w:sz w:val="21"/>
    </w:rPr>
  </w:style>
  <w:style w:type="paragraph" w:styleId="FootnoteText">
    <w:name w:val="footnote text"/>
    <w:basedOn w:val="Normal"/>
    <w:link w:val="FootnoteTextChar"/>
    <w:uiPriority w:val="99"/>
    <w:semiHidden/>
    <w:unhideWhenUsed/>
    <w:rsid w:val="006C735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C735D"/>
    <w:rPr>
      <w:rFonts w:ascii="Times New Roman" w:hAnsi="Times New Roman"/>
      <w:sz w:val="20"/>
      <w:szCs w:val="20"/>
    </w:rPr>
  </w:style>
  <w:style w:type="character" w:styleId="FootnoteReference">
    <w:name w:val="footnote reference"/>
    <w:basedOn w:val="DefaultParagraphFont"/>
    <w:uiPriority w:val="99"/>
    <w:semiHidden/>
    <w:unhideWhenUsed/>
    <w:rsid w:val="006C735D"/>
    <w:rPr>
      <w:vertAlign w:val="superscript"/>
    </w:rPr>
  </w:style>
  <w:style w:type="paragraph" w:styleId="Revision">
    <w:name w:val="Revision"/>
    <w:hidden/>
    <w:uiPriority w:val="99"/>
    <w:semiHidden/>
    <w:rsid w:val="007D775A"/>
    <w:pPr>
      <w:spacing w:after="0" w:line="240" w:lineRule="auto"/>
    </w:pPr>
    <w:rPr>
      <w:rFonts w:ascii="Times New Roman" w:hAnsi="Times New Roman"/>
    </w:rPr>
  </w:style>
  <w:style w:type="character" w:styleId="PageNumber">
    <w:name w:val="page number"/>
    <w:basedOn w:val="DefaultParagraphFont"/>
    <w:rsid w:val="00BF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8753">
      <w:bodyDiv w:val="1"/>
      <w:marLeft w:val="0"/>
      <w:marRight w:val="0"/>
      <w:marTop w:val="0"/>
      <w:marBottom w:val="0"/>
      <w:divBdr>
        <w:top w:val="none" w:sz="0" w:space="0" w:color="auto"/>
        <w:left w:val="none" w:sz="0" w:space="0" w:color="auto"/>
        <w:bottom w:val="none" w:sz="0" w:space="0" w:color="auto"/>
        <w:right w:val="none" w:sz="0" w:space="0" w:color="auto"/>
      </w:divBdr>
    </w:div>
    <w:div w:id="470943922">
      <w:bodyDiv w:val="1"/>
      <w:marLeft w:val="0"/>
      <w:marRight w:val="0"/>
      <w:marTop w:val="0"/>
      <w:marBottom w:val="0"/>
      <w:divBdr>
        <w:top w:val="none" w:sz="0" w:space="0" w:color="auto"/>
        <w:left w:val="none" w:sz="0" w:space="0" w:color="auto"/>
        <w:bottom w:val="none" w:sz="0" w:space="0" w:color="auto"/>
        <w:right w:val="none" w:sz="0" w:space="0" w:color="auto"/>
      </w:divBdr>
    </w:div>
    <w:div w:id="738792598">
      <w:bodyDiv w:val="1"/>
      <w:marLeft w:val="0"/>
      <w:marRight w:val="0"/>
      <w:marTop w:val="0"/>
      <w:marBottom w:val="0"/>
      <w:divBdr>
        <w:top w:val="none" w:sz="0" w:space="0" w:color="auto"/>
        <w:left w:val="none" w:sz="0" w:space="0" w:color="auto"/>
        <w:bottom w:val="none" w:sz="0" w:space="0" w:color="auto"/>
        <w:right w:val="none" w:sz="0" w:space="0" w:color="auto"/>
      </w:divBdr>
    </w:div>
    <w:div w:id="17819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8" ma:contentTypeDescription="Create a new document." ma:contentTypeScope="" ma:versionID="5634930025c1124b90983d4651b568b2">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60504b8070a490e650028ea64f8f1145"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6477A-4CB1-4B1A-8F68-400E32A15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93ACF-3146-47DD-A67D-B5CA425055B4}">
  <ds:schemaRefs>
    <ds:schemaRef ds:uri="http://schemas.microsoft.com/office/2006/metadata/properties"/>
    <ds:schemaRef ds:uri="http://schemas.microsoft.com/office/2006/documentManagement/types"/>
    <ds:schemaRef ds:uri="fb6c068c-bc2d-4620-b517-6a4d82a7e161"/>
    <ds:schemaRef ds:uri="604b4288-15a6-4b36-801c-a9875e40b072"/>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0155342B-EDA8-4B1B-9685-04BC080A69A4}">
  <ds:schemaRefs>
    <ds:schemaRef ds:uri="http://schemas.microsoft.com/sharepoint/v3/contenttype/forms"/>
  </ds:schemaRefs>
</ds:datastoreItem>
</file>

<file path=customXml/itemProps4.xml><?xml version="1.0" encoding="utf-8"?>
<ds:datastoreItem xmlns:ds="http://schemas.openxmlformats.org/officeDocument/2006/customXml" ds:itemID="{9E2EF236-CFD5-4FF1-91A0-2991BE02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4346</Words>
  <Characters>23213</Characters>
  <Application>Microsoft Office Word</Application>
  <DocSecurity>0</DocSecurity>
  <Lines>859</Lines>
  <Paragraphs>492</Paragraphs>
  <ScaleCrop>false</ScaleCrop>
  <HeadingPairs>
    <vt:vector size="2" baseType="variant">
      <vt:variant>
        <vt:lpstr>Title</vt:lpstr>
      </vt:variant>
      <vt:variant>
        <vt:i4>1</vt:i4>
      </vt:variant>
    </vt:vector>
  </HeadingPairs>
  <TitlesOfParts>
    <vt:vector size="1" baseType="lpstr">
      <vt:lpstr/>
    </vt:vector>
  </TitlesOfParts>
  <Company>European Commission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BOCCI Chiara (INTPA)</dc:creator>
  <cp:keywords/>
  <dc:description/>
  <cp:lastModifiedBy>DUBOIS Laurence (INTPA)</cp:lastModifiedBy>
  <cp:revision>4</cp:revision>
  <dcterms:created xsi:type="dcterms:W3CDTF">2024-06-18T10:23:00Z</dcterms:created>
  <dcterms:modified xsi:type="dcterms:W3CDTF">2024-10-31T15:12:00Z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2024-05-27T19:54:08Z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38e67ef1-f067-4f73-8904-97240f09e312</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ies>
</file>