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2DEA" w14:textId="38368243" w:rsidR="00ED5F79" w:rsidRDefault="00640286" w:rsidP="00ED5F79">
      <w:pPr>
        <w:spacing w:after="80"/>
        <w:jc w:val="center"/>
        <w:rPr>
          <w:rFonts w:ascii="Times New Roman" w:hAnsi="Times New Roman" w:cs="Times New Roman"/>
        </w:rPr>
      </w:pPr>
      <w:r w:rsidRPr="00ED5F79">
        <w:rPr>
          <w:rFonts w:ascii="Times New Roman" w:hAnsi="Times New Roman" w:cs="Times New Roman"/>
          <w:noProof/>
        </w:rPr>
        <w:drawing>
          <wp:inline distT="0" distB="0" distL="0" distR="0" wp14:anchorId="4512F7AC" wp14:editId="37905C6D">
            <wp:extent cx="4549140" cy="4549140"/>
            <wp:effectExtent l="0" t="0" r="0" b="0"/>
            <wp:docPr id="1445373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3504" name="Picture 1445373504"/>
                    <pic:cNvPicPr/>
                  </pic:nvPicPr>
                  <pic:blipFill>
                    <a:blip r:embed="rId8">
                      <a:extLst>
                        <a:ext uri="{28A0092B-C50C-407E-A947-70E740481C1C}">
                          <a14:useLocalDpi xmlns:a14="http://schemas.microsoft.com/office/drawing/2010/main" val="0"/>
                        </a:ext>
                      </a:extLst>
                    </a:blip>
                    <a:stretch>
                      <a:fillRect/>
                    </a:stretch>
                  </pic:blipFill>
                  <pic:spPr>
                    <a:xfrm>
                      <a:off x="0" y="0"/>
                      <a:ext cx="4549140" cy="4549140"/>
                    </a:xfrm>
                    <a:prstGeom prst="rect">
                      <a:avLst/>
                    </a:prstGeom>
                  </pic:spPr>
                </pic:pic>
              </a:graphicData>
            </a:graphic>
          </wp:inline>
        </w:drawing>
      </w:r>
    </w:p>
    <w:p w14:paraId="284A0206" w14:textId="77777777" w:rsidR="00ED5F79" w:rsidRPr="00ED5F79" w:rsidRDefault="00ED5F79" w:rsidP="00ED5F79">
      <w:pPr>
        <w:spacing w:after="300"/>
        <w:contextualSpacing/>
        <w:jc w:val="center"/>
        <w:rPr>
          <w:rFonts w:ascii="Times New Roman" w:eastAsia="MS Gothic" w:hAnsi="Times New Roman" w:cs="Times New Roman"/>
          <w:color w:val="000000" w:themeColor="text1"/>
          <w:spacing w:val="5"/>
          <w:kern w:val="28"/>
          <w:sz w:val="48"/>
          <w:szCs w:val="48"/>
          <w:lang w:val="en-US" w:eastAsia="en-US"/>
        </w:rPr>
      </w:pPr>
      <w:r w:rsidRPr="00ED5F79">
        <w:rPr>
          <w:rFonts w:ascii="Times New Roman" w:eastAsia="MS Gothic" w:hAnsi="Times New Roman" w:cs="Times New Roman"/>
          <w:color w:val="000000" w:themeColor="text1"/>
          <w:spacing w:val="5"/>
          <w:kern w:val="28"/>
          <w:sz w:val="48"/>
          <w:szCs w:val="48"/>
          <w:lang w:val="en-US" w:eastAsia="en-US"/>
        </w:rPr>
        <w:t>Annex A IMPLEMENTATION GUIDELINE</w:t>
      </w:r>
    </w:p>
    <w:p w14:paraId="3A3C7B85" w14:textId="77777777" w:rsidR="00ED5F79" w:rsidRPr="00ED5F79" w:rsidRDefault="00ED5F79" w:rsidP="00ED5F79">
      <w:pPr>
        <w:spacing w:after="200" w:line="276" w:lineRule="auto"/>
        <w:jc w:val="center"/>
        <w:rPr>
          <w:rFonts w:ascii="Times New Roman" w:eastAsia="MS Mincho" w:hAnsi="Times New Roman" w:cs="Times New Roman"/>
          <w:b/>
          <w:bCs/>
          <w:sz w:val="28"/>
          <w:szCs w:val="28"/>
          <w:lang w:val="en-US" w:eastAsia="en-US"/>
        </w:rPr>
      </w:pPr>
      <w:r w:rsidRPr="00ED5F79">
        <w:rPr>
          <w:rFonts w:ascii="Times New Roman" w:eastAsia="MS Mincho" w:hAnsi="Times New Roman" w:cs="Times New Roman"/>
          <w:b/>
          <w:bCs/>
          <w:sz w:val="28"/>
          <w:szCs w:val="28"/>
          <w:lang w:val="en-US" w:eastAsia="en-US"/>
        </w:rPr>
        <w:t>Grow Civic – Active Citizenship Support Facility</w:t>
      </w:r>
    </w:p>
    <w:p w14:paraId="3D5B60E7" w14:textId="77777777" w:rsidR="00ED5F79" w:rsidRPr="00ED5F79" w:rsidRDefault="00ED5F79" w:rsidP="00ED5F79">
      <w:pPr>
        <w:spacing w:after="200" w:line="276" w:lineRule="auto"/>
        <w:jc w:val="center"/>
        <w:rPr>
          <w:rFonts w:ascii="Times New Roman" w:eastAsia="MS Mincho" w:hAnsi="Times New Roman" w:cs="Times New Roman"/>
          <w:b/>
          <w:bCs/>
          <w:sz w:val="28"/>
          <w:szCs w:val="28"/>
          <w:lang w:val="en-US" w:eastAsia="en-US"/>
        </w:rPr>
      </w:pPr>
      <w:r w:rsidRPr="00ED5F79">
        <w:rPr>
          <w:rFonts w:ascii="Times New Roman" w:eastAsia="MS Mincho" w:hAnsi="Times New Roman" w:cs="Times New Roman"/>
          <w:b/>
          <w:bCs/>
          <w:sz w:val="28"/>
          <w:szCs w:val="28"/>
          <w:lang w:val="en-US" w:eastAsia="en-US"/>
        </w:rPr>
        <w:t>Civic Space Project</w:t>
      </w:r>
    </w:p>
    <w:p w14:paraId="75A1519C" w14:textId="77777777" w:rsidR="00ED5F79" w:rsidRPr="00ED5F79" w:rsidRDefault="00ED5F79" w:rsidP="00ED5F79">
      <w:pPr>
        <w:spacing w:after="200" w:line="276" w:lineRule="auto"/>
        <w:jc w:val="center"/>
        <w:rPr>
          <w:rFonts w:ascii="Times New Roman" w:eastAsia="MS Mincho" w:hAnsi="Times New Roman" w:cs="Times New Roman"/>
          <w:b/>
          <w:bCs/>
          <w:sz w:val="28"/>
          <w:szCs w:val="28"/>
          <w:lang w:val="en-US" w:eastAsia="en-US"/>
        </w:rPr>
      </w:pPr>
      <w:r w:rsidRPr="00ED5F79">
        <w:rPr>
          <w:rFonts w:ascii="Times New Roman" w:eastAsia="MS Mincho" w:hAnsi="Times New Roman" w:cs="Times New Roman"/>
          <w:b/>
          <w:bCs/>
          <w:sz w:val="28"/>
          <w:szCs w:val="28"/>
          <w:lang w:val="en-US" w:eastAsia="en-US"/>
        </w:rPr>
        <w:t>European Union</w:t>
      </w:r>
    </w:p>
    <w:p w14:paraId="48C4C9C1" w14:textId="77777777" w:rsidR="00ED5F79" w:rsidRPr="00ED5F79" w:rsidRDefault="00ED5F79" w:rsidP="00ED5F79">
      <w:pPr>
        <w:spacing w:after="200" w:line="276" w:lineRule="auto"/>
        <w:jc w:val="center"/>
        <w:rPr>
          <w:rFonts w:ascii="Times New Roman" w:eastAsia="MS Mincho" w:hAnsi="Times New Roman" w:cs="Times New Roman"/>
          <w:sz w:val="24"/>
          <w:szCs w:val="24"/>
          <w:lang w:val="en-US" w:eastAsia="en-US"/>
        </w:rPr>
      </w:pPr>
    </w:p>
    <w:p w14:paraId="407CC329" w14:textId="01B5887D" w:rsidR="00ED5F79" w:rsidRPr="00ED5F79" w:rsidRDefault="00ED5F79" w:rsidP="00ED5F79">
      <w:pPr>
        <w:spacing w:after="200" w:line="276" w:lineRule="auto"/>
        <w:jc w:val="center"/>
        <w:rPr>
          <w:rFonts w:ascii="Times New Roman" w:eastAsia="Calibri" w:hAnsi="Times New Roman" w:cs="Times New Roman"/>
          <w:sz w:val="24"/>
          <w:szCs w:val="24"/>
          <w:lang w:val="en-US" w:eastAsia="en-US"/>
        </w:rPr>
      </w:pPr>
      <w:r w:rsidRPr="00ED5F79">
        <w:rPr>
          <w:rFonts w:ascii="Times New Roman" w:eastAsia="Calibri" w:hAnsi="Times New Roman" w:cs="Times New Roman"/>
          <w:sz w:val="24"/>
          <w:szCs w:val="24"/>
          <w:lang w:val="en-US" w:eastAsia="en-US"/>
        </w:rPr>
        <w:t xml:space="preserve">Grow Civic - </w:t>
      </w:r>
      <w:r w:rsidRPr="00ED5F79">
        <w:rPr>
          <w:rFonts w:ascii="Times New Roman" w:eastAsia="MS Mincho" w:hAnsi="Times New Roman" w:cs="Times New Roman"/>
          <w:sz w:val="24"/>
          <w:szCs w:val="24"/>
          <w:lang w:val="en-US" w:eastAsia="en-US"/>
        </w:rPr>
        <w:t>Active Citizenship Support Facility</w:t>
      </w:r>
      <w:r w:rsidRPr="00ED5F79">
        <w:rPr>
          <w:rFonts w:ascii="Times New Roman" w:eastAsia="Calibri" w:hAnsi="Times New Roman" w:cs="Times New Roman"/>
          <w:sz w:val="24"/>
          <w:szCs w:val="24"/>
          <w:lang w:val="en-US" w:eastAsia="en-US"/>
        </w:rPr>
        <w:t xml:space="preserve"> is managed under the Civic Space Technical Assistance Project and funded by the European Union (EU) under the European Union’s Financial Aid </w:t>
      </w:r>
      <w:r w:rsidR="00AD5CF3" w:rsidRPr="00ED5F79">
        <w:rPr>
          <w:rFonts w:ascii="Times New Roman" w:eastAsia="Calibri" w:hAnsi="Times New Roman" w:cs="Times New Roman"/>
          <w:sz w:val="24"/>
          <w:szCs w:val="24"/>
          <w:lang w:val="en-US" w:eastAsia="en-US"/>
        </w:rPr>
        <w:t>Program</w:t>
      </w:r>
      <w:r w:rsidR="00AD5CF3">
        <w:rPr>
          <w:rFonts w:ascii="Times New Roman" w:eastAsia="Calibri" w:hAnsi="Times New Roman" w:cs="Times New Roman"/>
          <w:sz w:val="24"/>
          <w:szCs w:val="24"/>
          <w:lang w:val="en-US" w:eastAsia="en-US"/>
        </w:rPr>
        <w:t>me</w:t>
      </w:r>
      <w:r w:rsidRPr="00ED5F79">
        <w:rPr>
          <w:rFonts w:ascii="Times New Roman" w:eastAsia="Calibri" w:hAnsi="Times New Roman" w:cs="Times New Roman"/>
          <w:sz w:val="24"/>
          <w:szCs w:val="24"/>
          <w:lang w:val="en-US" w:eastAsia="en-US"/>
        </w:rPr>
        <w:t xml:space="preserve"> for the Turkish Cypriot community (TCc) and implemented by GFA. </w:t>
      </w:r>
    </w:p>
    <w:p w14:paraId="6BA7A892" w14:textId="77777777" w:rsidR="00854B55" w:rsidRDefault="00854B55" w:rsidP="00ED5F79">
      <w:pPr>
        <w:spacing w:after="200" w:line="276" w:lineRule="auto"/>
        <w:rPr>
          <w:rFonts w:ascii="Times New Roman" w:eastAsia="MS Mincho" w:hAnsi="Times New Roman" w:cs="Times New Roman"/>
          <w:sz w:val="22"/>
          <w:szCs w:val="22"/>
          <w:lang w:val="en-US"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042"/>
      </w:tblGrid>
      <w:tr w:rsidR="00854B55" w:rsidRPr="00F90C30" w14:paraId="78C05C2E" w14:textId="77777777" w:rsidTr="009E7CC0">
        <w:tc>
          <w:tcPr>
            <w:tcW w:w="1555" w:type="dxa"/>
          </w:tcPr>
          <w:p w14:paraId="19FAD4F0" w14:textId="77777777" w:rsidR="00854B55" w:rsidRPr="00F90C30" w:rsidRDefault="00854B55" w:rsidP="009E7CC0">
            <w:pPr>
              <w:spacing w:after="200" w:line="276" w:lineRule="auto"/>
              <w:rPr>
                <w:rFonts w:ascii="Times New Roman" w:eastAsia="MS Mincho" w:hAnsi="Times New Roman" w:cs="Times New Roman"/>
                <w:color w:val="000000" w:themeColor="text1"/>
                <w:sz w:val="32"/>
                <w:szCs w:val="32"/>
              </w:rPr>
            </w:pPr>
            <w:r>
              <w:rPr>
                <w:rFonts w:ascii="Times New Roman" w:eastAsia="MS Mincho" w:hAnsi="Times New Roman" w:cs="Times New Roman"/>
                <w:noProof/>
                <w:color w:val="000000" w:themeColor="text1"/>
                <w:sz w:val="32"/>
                <w:szCs w:val="32"/>
              </w:rPr>
              <w:drawing>
                <wp:inline distT="0" distB="0" distL="0" distR="0" wp14:anchorId="069D52DD" wp14:editId="74683F71">
                  <wp:extent cx="871855" cy="579120"/>
                  <wp:effectExtent l="0" t="0" r="4445" b="0"/>
                  <wp:docPr id="1414022782" name="Picture 1" descr="A flag with yellow sta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22782" name="Picture 1" descr="A flag with yellow stars in a circ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579120"/>
                          </a:xfrm>
                          <a:prstGeom prst="rect">
                            <a:avLst/>
                          </a:prstGeom>
                          <a:noFill/>
                        </pic:spPr>
                      </pic:pic>
                    </a:graphicData>
                  </a:graphic>
                </wp:inline>
              </w:drawing>
            </w:r>
          </w:p>
        </w:tc>
        <w:tc>
          <w:tcPr>
            <w:tcW w:w="8073" w:type="dxa"/>
          </w:tcPr>
          <w:p w14:paraId="46C7C43E" w14:textId="77777777" w:rsidR="00854B55" w:rsidRPr="00F90C30" w:rsidRDefault="00854B55" w:rsidP="009E7CC0">
            <w:pPr>
              <w:spacing w:after="200" w:line="276" w:lineRule="auto"/>
              <w:jc w:val="both"/>
              <w:rPr>
                <w:rFonts w:ascii="Times New Roman" w:eastAsia="MS Mincho" w:hAnsi="Times New Roman" w:cs="Times New Roman"/>
                <w:color w:val="000000" w:themeColor="text1"/>
                <w:sz w:val="24"/>
                <w:szCs w:val="24"/>
              </w:rPr>
            </w:pPr>
            <w:r w:rsidRPr="00F90C30">
              <w:rPr>
                <w:rFonts w:ascii="Times New Roman" w:eastAsia="MS Mincho" w:hAnsi="Times New Roman" w:cs="Times New Roman"/>
                <w:color w:val="000000" w:themeColor="text1"/>
                <w:sz w:val="24"/>
                <w:szCs w:val="24"/>
              </w:rPr>
              <w:t>This publication was funded by the European Union. Its contents are the sole responsibility of GFA Consulting Group GmbH and do not necessarily reflect the views of the European Union</w:t>
            </w:r>
            <w:r>
              <w:rPr>
                <w:rFonts w:ascii="Times New Roman" w:eastAsia="MS Mincho" w:hAnsi="Times New Roman" w:cs="Times New Roman"/>
                <w:color w:val="000000" w:themeColor="text1"/>
                <w:sz w:val="24"/>
                <w:szCs w:val="24"/>
              </w:rPr>
              <w:t>.</w:t>
            </w:r>
          </w:p>
        </w:tc>
      </w:tr>
    </w:tbl>
    <w:p w14:paraId="0D57D1C4" w14:textId="2F51AEB2" w:rsidR="00ED5F79" w:rsidRPr="00ED5F79" w:rsidRDefault="00ED5F79" w:rsidP="00ED5F79">
      <w:pPr>
        <w:spacing w:after="200" w:line="276" w:lineRule="auto"/>
        <w:rPr>
          <w:rFonts w:ascii="Times New Roman" w:eastAsia="MS Mincho" w:hAnsi="Times New Roman" w:cs="Times New Roman"/>
          <w:sz w:val="22"/>
          <w:szCs w:val="22"/>
          <w:lang w:val="en-US" w:eastAsia="en-US"/>
        </w:rPr>
      </w:pPr>
      <w:r w:rsidRPr="00ED5F79">
        <w:rPr>
          <w:rFonts w:ascii="Times New Roman" w:eastAsia="MS Mincho" w:hAnsi="Times New Roman" w:cs="Times New Roman"/>
          <w:sz w:val="22"/>
          <w:szCs w:val="22"/>
          <w:lang w:val="en-US" w:eastAsia="en-US"/>
        </w:rPr>
        <w:br w:type="page"/>
      </w:r>
    </w:p>
    <w:p w14:paraId="7D1705D2"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lastRenderedPageBreak/>
        <w:t>Dear Civil Society Representatives,</w:t>
      </w:r>
    </w:p>
    <w:p w14:paraId="77473D46"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 xml:space="preserve">Welcome to the Active Citizenship Support Facility (ACSF) – </w:t>
      </w:r>
      <w:r w:rsidRPr="00ED5F79">
        <w:rPr>
          <w:rFonts w:ascii="Times New Roman" w:eastAsia="Times New Roman" w:hAnsi="Times New Roman" w:cs="Times New Roman"/>
          <w:i/>
          <w:iCs/>
          <w:sz w:val="24"/>
          <w:szCs w:val="24"/>
          <w:lang w:val="en-GB" w:eastAsia="tr-TR"/>
        </w:rPr>
        <w:t>Grow Civic</w:t>
      </w:r>
      <w:r w:rsidRPr="00ED5F79">
        <w:rPr>
          <w:rFonts w:ascii="Times New Roman" w:eastAsia="Times New Roman" w:hAnsi="Times New Roman" w:cs="Times New Roman"/>
          <w:sz w:val="24"/>
          <w:szCs w:val="24"/>
          <w:lang w:val="en-GB" w:eastAsia="tr-TR"/>
        </w:rPr>
        <w:t>, an in-kind support mechanism for civil society implemented under the Civic Space project within the framework of the European Union Aid Programme for the Turkish Cypriot community.</w:t>
      </w:r>
    </w:p>
    <w:p w14:paraId="0306AD88"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Congratulations on the successful approval of your application.</w:t>
      </w:r>
    </w:p>
    <w:p w14:paraId="323BDAB4"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To support you during the implementation phase, we have prepared the attached Implementation Guidelines, which outline the procedures, roles, and requirements to be followed throughout the delivery of your action. These guidelines are intended to ensure a smooth, transparent, and effective implementation process in line with EU standards.</w:t>
      </w:r>
    </w:p>
    <w:p w14:paraId="3D41E9E2"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We kindly invite you to review the document carefully and to follow the outlined steps during the implementation of your activities.</w:t>
      </w:r>
    </w:p>
    <w:p w14:paraId="24B66050"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In case of any questions or need for clarification, you may contact the Civic Space Help Desk at any time. Our team will be pleased to support you throughout the process.</w:t>
      </w:r>
    </w:p>
    <w:p w14:paraId="0399B568"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We look forward to working with you and wish you success in the implementation of your action.</w:t>
      </w:r>
    </w:p>
    <w:p w14:paraId="3AD1102D"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Kind regards,</w:t>
      </w:r>
    </w:p>
    <w:p w14:paraId="01666D70"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en-GB" w:eastAsia="tr-TR"/>
        </w:rPr>
      </w:pPr>
      <w:r w:rsidRPr="00ED5F79">
        <w:rPr>
          <w:rFonts w:ascii="Times New Roman" w:eastAsia="Times New Roman" w:hAnsi="Times New Roman" w:cs="Times New Roman"/>
          <w:sz w:val="24"/>
          <w:szCs w:val="24"/>
          <w:lang w:val="en-GB" w:eastAsia="tr-TR"/>
        </w:rPr>
        <w:t>Civic Space Team</w:t>
      </w:r>
    </w:p>
    <w:p w14:paraId="5181020E" w14:textId="77777777" w:rsidR="00ED5F79" w:rsidRPr="00ED5F79" w:rsidRDefault="00ED5F79" w:rsidP="00ED5F79">
      <w:pPr>
        <w:spacing w:after="200"/>
        <w:rPr>
          <w:rFonts w:ascii="Times New Roman" w:eastAsia="MS Mincho" w:hAnsi="Times New Roman" w:cs="Times New Roman"/>
          <w:sz w:val="22"/>
          <w:szCs w:val="22"/>
          <w:lang w:val="en-US" w:eastAsia="en-US"/>
        </w:rPr>
      </w:pPr>
      <w:r w:rsidRPr="00ED5F79">
        <w:rPr>
          <w:rFonts w:ascii="Times New Roman" w:eastAsia="MS Mincho" w:hAnsi="Times New Roman" w:cs="Times New Roman"/>
          <w:sz w:val="22"/>
          <w:szCs w:val="22"/>
          <w:lang w:val="en-US" w:eastAsia="en-US"/>
        </w:rPr>
        <w:br w:type="page"/>
      </w:r>
    </w:p>
    <w:p w14:paraId="5D38BEE8" w14:textId="77777777" w:rsidR="00ED5F79" w:rsidRPr="00ED5F79" w:rsidRDefault="00ED5F79" w:rsidP="00ED5F79">
      <w:pPr>
        <w:keepNext/>
        <w:keepLines/>
        <w:spacing w:before="480"/>
        <w:outlineLvl w:val="0"/>
        <w:rPr>
          <w:rFonts w:ascii="Times New Roman" w:eastAsia="MS Gothic" w:hAnsi="Times New Roman" w:cs="Times New Roman"/>
          <w:b/>
          <w:bCs/>
          <w:color w:val="365F9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lastRenderedPageBreak/>
        <w:t>1. Introduction</w:t>
      </w:r>
    </w:p>
    <w:p w14:paraId="6500BE32"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Implementation Guidelines provides instructions and procedural guidance for the implementation of actions supported under the Grow Civic Facility and outlines the applicable requirements to be respected throughout the implementation process.</w:t>
      </w:r>
    </w:p>
    <w:p w14:paraId="688D5DED"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These guidelines are to ensure:</w:t>
      </w:r>
    </w:p>
    <w:p w14:paraId="12593E2B" w14:textId="77777777" w:rsidR="00ED5F79" w:rsidRPr="00ED5F79" w:rsidRDefault="00ED5F79" w:rsidP="00ED5F79">
      <w:pPr>
        <w:numPr>
          <w:ilvl w:val="0"/>
          <w:numId w:val="3"/>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effective and efficient implementation of supported actions</w:t>
      </w:r>
    </w:p>
    <w:p w14:paraId="04B2AEC6" w14:textId="77777777" w:rsidR="00ED5F79" w:rsidRPr="00ED5F79" w:rsidRDefault="00ED5F79" w:rsidP="00ED5F79">
      <w:pPr>
        <w:numPr>
          <w:ilvl w:val="0"/>
          <w:numId w:val="3"/>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achievement of expected results and impact</w:t>
      </w:r>
    </w:p>
    <w:p w14:paraId="55E7896A" w14:textId="77777777" w:rsidR="00ED5F79" w:rsidRPr="00ED5F79" w:rsidRDefault="00ED5F79" w:rsidP="00ED5F79">
      <w:pPr>
        <w:numPr>
          <w:ilvl w:val="0"/>
          <w:numId w:val="3"/>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compliance with the EU rules and visibility requirements</w:t>
      </w:r>
    </w:p>
    <w:p w14:paraId="2E8F9D26" w14:textId="77777777" w:rsidR="00ED5F79" w:rsidRPr="00ED5F79" w:rsidRDefault="00ED5F79" w:rsidP="00ED5F79">
      <w:pPr>
        <w:numPr>
          <w:ilvl w:val="0"/>
          <w:numId w:val="3"/>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timely and cost-effective implementation of the actions</w:t>
      </w:r>
    </w:p>
    <w:p w14:paraId="568C7506" w14:textId="77777777" w:rsidR="00ED5F79" w:rsidRPr="00ED5F79" w:rsidRDefault="00ED5F79" w:rsidP="00ED5F79">
      <w:pPr>
        <w:keepNext/>
        <w:keepLines/>
        <w:spacing w:before="480" w:after="12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NOTES BEFORE YOU START YOUR IMPLEMENTATION</w:t>
      </w:r>
    </w:p>
    <w:tbl>
      <w:tblPr>
        <w:tblStyle w:val="TableGrid2"/>
        <w:tblW w:w="8929" w:type="dxa"/>
        <w:tblInd w:w="0" w:type="dxa"/>
        <w:tblLook w:val="04A0" w:firstRow="1" w:lastRow="0" w:firstColumn="1" w:lastColumn="0" w:noHBand="0" w:noVBand="1"/>
      </w:tblPr>
      <w:tblGrid>
        <w:gridCol w:w="1697"/>
        <w:gridCol w:w="7232"/>
      </w:tblGrid>
      <w:tr w:rsidR="00ED5F79" w:rsidRPr="00ED5F79" w14:paraId="59E1A93A" w14:textId="77777777">
        <w:trPr>
          <w:trHeight w:val="300"/>
        </w:trPr>
        <w:tc>
          <w:tcPr>
            <w:tcW w:w="1697" w:type="dxa"/>
            <w:tcBorders>
              <w:top w:val="single" w:sz="4" w:space="0" w:color="auto"/>
              <w:left w:val="single" w:sz="4" w:space="0" w:color="auto"/>
              <w:bottom w:val="single" w:sz="4" w:space="0" w:color="auto"/>
              <w:right w:val="single" w:sz="4" w:space="0" w:color="auto"/>
            </w:tcBorders>
            <w:hideMark/>
          </w:tcPr>
          <w:p w14:paraId="65724630" w14:textId="77777777" w:rsidR="00ED5F79" w:rsidRPr="00ED5F79" w:rsidRDefault="00ED5F79" w:rsidP="00ED5F79">
            <w:pPr>
              <w:jc w:val="center"/>
              <w:rPr>
                <w:rFonts w:ascii="Times New Roman" w:hAnsi="Times New Roman"/>
                <w:sz w:val="24"/>
                <w:szCs w:val="24"/>
                <w:lang w:val="tr-TR"/>
              </w:rPr>
            </w:pPr>
            <w:r w:rsidRPr="00ED5F79">
              <w:rPr>
                <w:rFonts w:ascii="Times New Roman" w:hAnsi="Times New Roman"/>
                <w:sz w:val="24"/>
                <w:szCs w:val="24"/>
                <w:lang w:val="tr-TR"/>
              </w:rPr>
              <w:t>TIPS</w:t>
            </w:r>
          </w:p>
        </w:tc>
        <w:tc>
          <w:tcPr>
            <w:tcW w:w="7232" w:type="dxa"/>
            <w:tcBorders>
              <w:top w:val="single" w:sz="4" w:space="0" w:color="auto"/>
              <w:left w:val="single" w:sz="4" w:space="0" w:color="auto"/>
              <w:bottom w:val="single" w:sz="4" w:space="0" w:color="auto"/>
              <w:right w:val="single" w:sz="4" w:space="0" w:color="auto"/>
            </w:tcBorders>
            <w:hideMark/>
          </w:tcPr>
          <w:p w14:paraId="6BFB8590" w14:textId="77777777" w:rsidR="00ED5F79" w:rsidRPr="00ED5F79" w:rsidRDefault="00ED5F79" w:rsidP="00ED5F79">
            <w:pPr>
              <w:numPr>
                <w:ilvl w:val="0"/>
                <w:numId w:val="4"/>
              </w:numPr>
              <w:spacing w:before="120" w:after="120" w:line="276" w:lineRule="auto"/>
              <w:jc w:val="both"/>
              <w:rPr>
                <w:rFonts w:ascii="Times New Roman" w:eastAsia="Cambria" w:hAnsi="Times New Roman"/>
                <w:sz w:val="24"/>
                <w:szCs w:val="24"/>
                <w:lang w:val="en-GB" w:eastAsia="tr-TR"/>
              </w:rPr>
            </w:pPr>
            <w:r w:rsidRPr="00ED5F79">
              <w:rPr>
                <w:rFonts w:ascii="Times New Roman" w:eastAsia="Cambria" w:hAnsi="Times New Roman"/>
                <w:sz w:val="24"/>
                <w:szCs w:val="24"/>
                <w:lang w:val="en-GB" w:eastAsia="tr-TR"/>
              </w:rPr>
              <w:t>Please bear in mind that you remain fully responsible for the implementation of the supported action, while the Civic Space Team will provide guidance, coordination, and operational support throughout the implementation process.</w:t>
            </w:r>
          </w:p>
          <w:p w14:paraId="2B3FD542" w14:textId="77777777" w:rsidR="00ED5F79" w:rsidRPr="00ED5F79" w:rsidRDefault="00ED5F79" w:rsidP="00ED5F79">
            <w:pPr>
              <w:numPr>
                <w:ilvl w:val="0"/>
                <w:numId w:val="4"/>
              </w:numPr>
              <w:spacing w:before="120" w:after="120" w:line="276" w:lineRule="auto"/>
              <w:jc w:val="both"/>
              <w:rPr>
                <w:rFonts w:ascii="Times New Roman" w:eastAsia="Cambria" w:hAnsi="Times New Roman"/>
                <w:sz w:val="24"/>
                <w:szCs w:val="24"/>
                <w:lang w:val="en-GB" w:eastAsia="tr-TR"/>
              </w:rPr>
            </w:pPr>
            <w:r w:rsidRPr="00ED5F79">
              <w:rPr>
                <w:rFonts w:ascii="Times New Roman" w:eastAsia="Cambria" w:hAnsi="Times New Roman"/>
                <w:sz w:val="24"/>
                <w:szCs w:val="24"/>
                <w:lang w:val="en-GB" w:eastAsia="tr-TR"/>
              </w:rPr>
              <w:t>Following the approval of the request and signature of the Support Agreement, the Civic Space Team will provide all relevant implementation documents, templates, procedures, and practical guidance related to the implementation of the supported action.</w:t>
            </w:r>
          </w:p>
          <w:p w14:paraId="4AE506D7" w14:textId="77777777" w:rsidR="00ED5F79" w:rsidRPr="00ED5F79" w:rsidRDefault="00ED5F79" w:rsidP="00ED5F79">
            <w:pPr>
              <w:numPr>
                <w:ilvl w:val="0"/>
                <w:numId w:val="4"/>
              </w:numPr>
              <w:spacing w:before="120" w:after="120" w:line="276" w:lineRule="auto"/>
              <w:jc w:val="both"/>
              <w:rPr>
                <w:rFonts w:ascii="Times New Roman" w:eastAsia="Cambria" w:hAnsi="Times New Roman"/>
                <w:sz w:val="24"/>
                <w:szCs w:val="24"/>
                <w:lang w:val="en-GB" w:eastAsia="tr-TR"/>
              </w:rPr>
            </w:pPr>
            <w:r w:rsidRPr="00ED5F79">
              <w:rPr>
                <w:rFonts w:ascii="Times New Roman" w:eastAsia="Cambria" w:hAnsi="Times New Roman"/>
                <w:sz w:val="24"/>
                <w:szCs w:val="24"/>
                <w:lang w:val="en-GB" w:eastAsia="tr-TR"/>
              </w:rPr>
              <w:t>Please note that the implementation of the supported activities must commence within one (1) month following the signature of the Support Agreement. Failure to initiate the implementation within this timeframe may result in cancellation of the support, unless a duly justified written explanation is submitted in advance and accepted by the Civic Space Team.</w:t>
            </w:r>
          </w:p>
          <w:p w14:paraId="4F4432FB" w14:textId="77777777" w:rsidR="00ED5F79" w:rsidRPr="00ED5F79" w:rsidRDefault="00ED5F79" w:rsidP="00ED5F79">
            <w:pPr>
              <w:numPr>
                <w:ilvl w:val="0"/>
                <w:numId w:val="4"/>
              </w:numPr>
              <w:spacing w:before="120" w:after="120" w:line="276" w:lineRule="auto"/>
              <w:jc w:val="both"/>
              <w:rPr>
                <w:rFonts w:ascii="Times New Roman" w:eastAsia="Cambria" w:hAnsi="Times New Roman"/>
                <w:sz w:val="24"/>
                <w:szCs w:val="24"/>
                <w:lang w:val="en-GB" w:eastAsia="tr-TR"/>
              </w:rPr>
            </w:pPr>
            <w:r w:rsidRPr="00ED5F79">
              <w:rPr>
                <w:rFonts w:ascii="Times New Roman" w:eastAsia="Cambria" w:hAnsi="Times New Roman"/>
                <w:sz w:val="24"/>
                <w:szCs w:val="24"/>
                <w:lang w:val="en-GB" w:eastAsia="tr-TR"/>
              </w:rPr>
              <w:t>In cases where implementation has commenced but activities are suspended, delayed, or discontinued for a period exceeding two (2) consecutive months without a valid and duly justified reason, the Civic Space Team reserves the right to terminate or cancel the support.</w:t>
            </w:r>
          </w:p>
          <w:p w14:paraId="0664AEF7" w14:textId="77777777" w:rsidR="00ED5F79" w:rsidRPr="00ED5F79" w:rsidRDefault="00ED5F79" w:rsidP="00ED5F79">
            <w:pPr>
              <w:numPr>
                <w:ilvl w:val="0"/>
                <w:numId w:val="4"/>
              </w:numPr>
              <w:spacing w:before="120" w:after="120" w:line="276" w:lineRule="auto"/>
              <w:jc w:val="both"/>
              <w:rPr>
                <w:rFonts w:ascii="Times New Roman" w:eastAsia="Cambria" w:hAnsi="Times New Roman"/>
                <w:sz w:val="24"/>
                <w:szCs w:val="24"/>
                <w:lang w:val="en-GB" w:eastAsia="tr-TR"/>
              </w:rPr>
            </w:pPr>
            <w:r w:rsidRPr="00ED5F79">
              <w:rPr>
                <w:rFonts w:ascii="Times New Roman" w:eastAsia="Cambria" w:hAnsi="Times New Roman"/>
                <w:sz w:val="24"/>
                <w:szCs w:val="24"/>
                <w:lang w:val="en-GB" w:eastAsia="tr-TR"/>
              </w:rPr>
              <w:t>In the event of cancellation or termination of the support, any costs, commitments, or expenditures related to incomplete, suspended, or non-implemented activities shall not be considered eligible and will not be accepted for reimbursement or coverage by the Civic Space Team.</w:t>
            </w:r>
          </w:p>
          <w:p w14:paraId="5F98DCCC" w14:textId="77777777" w:rsidR="00ED5F79" w:rsidRPr="00ED5F79" w:rsidRDefault="00ED5F79" w:rsidP="00ED5F79">
            <w:pPr>
              <w:numPr>
                <w:ilvl w:val="0"/>
                <w:numId w:val="4"/>
              </w:numPr>
              <w:spacing w:before="120" w:after="120" w:line="276" w:lineRule="auto"/>
              <w:jc w:val="both"/>
              <w:rPr>
                <w:rFonts w:ascii="Times New Roman" w:eastAsia="Cambria" w:hAnsi="Times New Roman"/>
                <w:sz w:val="24"/>
                <w:szCs w:val="24"/>
                <w:lang w:val="en-GB" w:eastAsia="tr-TR"/>
              </w:rPr>
            </w:pPr>
            <w:r w:rsidRPr="00ED5F79">
              <w:rPr>
                <w:rFonts w:ascii="Times New Roman" w:eastAsia="Cambria" w:hAnsi="Times New Roman"/>
                <w:sz w:val="24"/>
                <w:szCs w:val="24"/>
                <w:lang w:val="en-GB" w:eastAsia="tr-TR"/>
              </w:rPr>
              <w:t xml:space="preserve">As the action is supported through an in-kind support mechanism, payments for approved expert services, procurement of supplies  and contracted services will be made directly by the Civic Space </w:t>
            </w:r>
            <w:r w:rsidRPr="00ED5F79">
              <w:rPr>
                <w:rFonts w:ascii="Times New Roman" w:eastAsia="Cambria" w:hAnsi="Times New Roman"/>
                <w:sz w:val="24"/>
                <w:szCs w:val="24"/>
                <w:lang w:val="en-GB" w:eastAsia="tr-TR"/>
              </w:rPr>
              <w:lastRenderedPageBreak/>
              <w:t>Team to the respective experts, suppliers, or service providers. Exceptionally, limited operational expenditures may be reimbursed directly to the supported entity, subject to prior approval and up to a maximum amount of EUR 500.</w:t>
            </w:r>
          </w:p>
          <w:p w14:paraId="065B5841"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lang w:val="tr-TR"/>
              </w:rPr>
            </w:pPr>
            <w:r w:rsidRPr="00ED5F79">
              <w:rPr>
                <w:rFonts w:ascii="Times New Roman" w:eastAsia="Cambria" w:hAnsi="Times New Roman"/>
                <w:sz w:val="24"/>
                <w:szCs w:val="24"/>
                <w:lang w:val="en-GB" w:eastAsia="tr-TR"/>
              </w:rPr>
              <w:t>Beneficiaries are responsible for ensuring that all planned expenditures remain within the scope and limits of the approved budget and approved activities. Any expenditure incurred outside the approved scope, budget, or implementation arrangements shall be considered ineligible and will not be financed or reimbursed by the Civic Space Team.</w:t>
            </w:r>
          </w:p>
          <w:p w14:paraId="7955566E"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lang w:val="tr-TR"/>
              </w:rPr>
            </w:pPr>
            <w:r w:rsidRPr="00ED5F79">
              <w:rPr>
                <w:rFonts w:ascii="Times New Roman" w:hAnsi="Times New Roman"/>
                <w:sz w:val="24"/>
                <w:szCs w:val="24"/>
                <w:lang w:val="tr-TR"/>
              </w:rPr>
              <w:t>All support provided under the Grow Civic Facility remains subject to the availability of project resources, operational feasibility, applicable contractual conditions, and approval requirements of the Civic Space Project and the Contracting Authority</w:t>
            </w:r>
          </w:p>
        </w:tc>
      </w:tr>
    </w:tbl>
    <w:p w14:paraId="41260C3C" w14:textId="2A648291" w:rsidR="00ED5F79" w:rsidRPr="00ED5F79" w:rsidRDefault="00ED5F79" w:rsidP="00ED5F79">
      <w:pPr>
        <w:keepNext/>
        <w:keepLines/>
        <w:spacing w:before="480" w:after="12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lastRenderedPageBreak/>
        <w:t>NOTES REGARDING THE PROCESS AFTER YOUR ACTION IS APPROVED</w:t>
      </w:r>
    </w:p>
    <w:tbl>
      <w:tblPr>
        <w:tblStyle w:val="TableGrid2"/>
        <w:tblW w:w="8929" w:type="dxa"/>
        <w:tblInd w:w="0" w:type="dxa"/>
        <w:tblLook w:val="04A0" w:firstRow="1" w:lastRow="0" w:firstColumn="1" w:lastColumn="0" w:noHBand="0" w:noVBand="1"/>
      </w:tblPr>
      <w:tblGrid>
        <w:gridCol w:w="1697"/>
        <w:gridCol w:w="7232"/>
      </w:tblGrid>
      <w:tr w:rsidR="00ED5F79" w:rsidRPr="00ED5F79" w14:paraId="085BEED3" w14:textId="77777777">
        <w:trPr>
          <w:trHeight w:val="300"/>
        </w:trPr>
        <w:tc>
          <w:tcPr>
            <w:tcW w:w="1697" w:type="dxa"/>
            <w:tcBorders>
              <w:top w:val="single" w:sz="4" w:space="0" w:color="auto"/>
              <w:left w:val="single" w:sz="4" w:space="0" w:color="auto"/>
              <w:bottom w:val="single" w:sz="4" w:space="0" w:color="auto"/>
              <w:right w:val="single" w:sz="4" w:space="0" w:color="auto"/>
            </w:tcBorders>
            <w:hideMark/>
          </w:tcPr>
          <w:p w14:paraId="6BB01E6E" w14:textId="77777777" w:rsidR="00ED5F79" w:rsidRPr="00ED5F79" w:rsidRDefault="00ED5F79" w:rsidP="00ED5F79">
            <w:pPr>
              <w:jc w:val="center"/>
              <w:rPr>
                <w:rFonts w:ascii="Times New Roman" w:hAnsi="Times New Roman"/>
                <w:sz w:val="24"/>
                <w:szCs w:val="24"/>
                <w:lang w:val="tr-TR"/>
              </w:rPr>
            </w:pPr>
            <w:r w:rsidRPr="00ED5F79">
              <w:rPr>
                <w:rFonts w:ascii="Times New Roman" w:hAnsi="Times New Roman"/>
                <w:sz w:val="24"/>
                <w:szCs w:val="24"/>
                <w:lang w:val="tr-TR"/>
              </w:rPr>
              <w:t>TIPS</w:t>
            </w:r>
          </w:p>
        </w:tc>
        <w:tc>
          <w:tcPr>
            <w:tcW w:w="7232" w:type="dxa"/>
            <w:tcBorders>
              <w:top w:val="single" w:sz="4" w:space="0" w:color="auto"/>
              <w:left w:val="single" w:sz="4" w:space="0" w:color="auto"/>
              <w:bottom w:val="single" w:sz="4" w:space="0" w:color="auto"/>
              <w:right w:val="single" w:sz="4" w:space="0" w:color="auto"/>
            </w:tcBorders>
            <w:hideMark/>
          </w:tcPr>
          <w:p w14:paraId="5E8C4A7C"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rPr>
            </w:pPr>
            <w:r w:rsidRPr="00ED5F79">
              <w:rPr>
                <w:rFonts w:ascii="Times New Roman" w:hAnsi="Times New Roman"/>
                <w:sz w:val="24"/>
                <w:szCs w:val="24"/>
              </w:rPr>
              <w:t>Please review the Support Agreement carefully prior to signature. The Agreement defines the roles and responsibilities of the supported entity and the Civic Space Team, including the approved scope of support, implementation arrangements, budget provisions, reporting obligations, visibility requirements, monitoring arrangements, and applicable procedural rules.</w:t>
            </w:r>
          </w:p>
          <w:p w14:paraId="47125FDF"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rPr>
            </w:pPr>
            <w:r w:rsidRPr="00ED5F79">
              <w:rPr>
                <w:rFonts w:ascii="Times New Roman" w:hAnsi="Times New Roman"/>
                <w:sz w:val="24"/>
                <w:szCs w:val="24"/>
              </w:rPr>
              <w:t>The Support Agreement shall enter into force on the date of signature by the last of the two parties. No expenditures, commitments, procurement actions, expert engagement, or implementation activities may be considered eligible prior to the entry into force of the Agreement, unless otherwise explicitly authorized in writing by the Civic Space Team.</w:t>
            </w:r>
          </w:p>
          <w:p w14:paraId="26F4CC46"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rPr>
            </w:pPr>
            <w:r w:rsidRPr="00ED5F79">
              <w:rPr>
                <w:rFonts w:ascii="Times New Roman" w:hAnsi="Times New Roman"/>
                <w:sz w:val="24"/>
                <w:szCs w:val="24"/>
              </w:rPr>
              <w:t>Beneficiaries are advised to carefully review the approved application, implementation plan, timeline, and approved budget prior to commencing implementation, in order to ensure that all planned activities, outputs, and expenditures remain fully aligned with the approved support framework.</w:t>
            </w:r>
          </w:p>
          <w:p w14:paraId="184D603D"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rPr>
            </w:pPr>
            <w:r w:rsidRPr="00ED5F79">
              <w:rPr>
                <w:rFonts w:ascii="Times New Roman" w:hAnsi="Times New Roman"/>
                <w:sz w:val="24"/>
                <w:szCs w:val="24"/>
              </w:rPr>
              <w:t xml:space="preserve">Experts, consultants, suppliers, and service providers should normally be selected from the pre-qualified pools of experts and service providers established under the Grow Civic Facility and </w:t>
            </w:r>
            <w:r w:rsidRPr="00ED5F79">
              <w:rPr>
                <w:rFonts w:ascii="Times New Roman" w:hAnsi="Times New Roman"/>
                <w:sz w:val="24"/>
                <w:szCs w:val="24"/>
              </w:rPr>
              <w:lastRenderedPageBreak/>
              <w:t>annexed to these Guidelines (Catalogues). Exceptionally, beneficiaries may propose alternative experts or providers where duly justified by the nature of the action, specific expertise required, urgency, geographic considerations, availability constraints, or other operational reasons, subject to prior review and approval by the Civic Space Team and the Contracting Authority of the Civic Space project (European Commission).</w:t>
            </w:r>
          </w:p>
          <w:p w14:paraId="6B71D096" w14:textId="77777777" w:rsidR="00ED5F79" w:rsidRPr="00ED5F79" w:rsidRDefault="00ED5F79" w:rsidP="00ED5F79">
            <w:pPr>
              <w:numPr>
                <w:ilvl w:val="0"/>
                <w:numId w:val="4"/>
              </w:numPr>
              <w:spacing w:before="120" w:after="120" w:line="276" w:lineRule="auto"/>
              <w:jc w:val="both"/>
              <w:rPr>
                <w:rFonts w:ascii="Times New Roman" w:hAnsi="Times New Roman"/>
                <w:sz w:val="24"/>
                <w:szCs w:val="24"/>
              </w:rPr>
            </w:pPr>
            <w:r w:rsidRPr="00ED5F79">
              <w:rPr>
                <w:rFonts w:ascii="Times New Roman" w:hAnsi="Times New Roman"/>
                <w:sz w:val="24"/>
                <w:szCs w:val="24"/>
              </w:rPr>
              <w:t>All expenditures, services, activities, and implementation-related commitments included under the approved support must be incurred, delivered, and completed within the approved implementation period specified in the Support Agreement. Costs or activities implemented outside the approved implementation period shall not be considered eligible unless prior written approval for an extension or amendment has been granted by the Civic Space Team.</w:t>
            </w:r>
          </w:p>
        </w:tc>
      </w:tr>
    </w:tbl>
    <w:p w14:paraId="49E5D085" w14:textId="77777777" w:rsidR="00ED5F79" w:rsidRPr="00ED5F79" w:rsidRDefault="00ED5F79" w:rsidP="00ED5F79">
      <w:pPr>
        <w:keepNext/>
        <w:keepLines/>
        <w:spacing w:before="480"/>
        <w:outlineLvl w:val="0"/>
        <w:rPr>
          <w:rFonts w:ascii="Times New Roman" w:eastAsia="MS Gothic" w:hAnsi="Times New Roman" w:cs="Times New Roman"/>
          <w:b/>
          <w:bCs/>
          <w:color w:val="365F9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lastRenderedPageBreak/>
        <w:t>2. Types of Support under the Grow Civic Facility</w:t>
      </w:r>
    </w:p>
    <w:p w14:paraId="107D5D2E" w14:textId="77777777" w:rsidR="00ED5F79" w:rsidRPr="00ED5F79" w:rsidRDefault="00ED5F79" w:rsidP="00ED5F79">
      <w:pPr>
        <w:spacing w:before="100" w:beforeAutospacing="1" w:after="100" w:afterAutospacing="1"/>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Grow Civic Facility provides support through an in-kind support mechanism designed to respond flexibly and rapidly to civic initiatives and community-based actions. Support may include:</w:t>
      </w:r>
    </w:p>
    <w:p w14:paraId="346C5F8A" w14:textId="77777777" w:rsidR="00ED5F79" w:rsidRPr="00ED5F79" w:rsidRDefault="00ED5F79" w:rsidP="00ED5F79">
      <w:pPr>
        <w:numPr>
          <w:ilvl w:val="0"/>
          <w:numId w:val="5"/>
        </w:numPr>
        <w:spacing w:before="100" w:beforeAutospacing="1" w:after="100" w:afterAutospacing="1"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Provision of expert support, advisory services, mentoring, facilitation, research, technical assistance, or other professional services required for the implementation of approved actions;</w:t>
      </w:r>
    </w:p>
    <w:p w14:paraId="3C9A02F4" w14:textId="77777777" w:rsidR="00ED5F79" w:rsidRPr="00ED5F79" w:rsidRDefault="00ED5F79" w:rsidP="00ED5F79">
      <w:pPr>
        <w:numPr>
          <w:ilvl w:val="0"/>
          <w:numId w:val="5"/>
        </w:numPr>
        <w:spacing w:before="100" w:beforeAutospacing="1" w:after="100" w:afterAutospacing="1"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Procurement of services, supplies, visibility materials, event-related services, research support, communication products, logistics, or other implementation-related inputs necessary for the implementation of approved civic initiatives.</w:t>
      </w:r>
    </w:p>
    <w:p w14:paraId="7B7031F7" w14:textId="77777777" w:rsidR="00ED5F79" w:rsidRPr="00ED5F79" w:rsidRDefault="00ED5F79" w:rsidP="00ED5F79">
      <w:pPr>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support under the Grow Civic Facility is provided exclusively in-kind. Beneficiaries do not receive direct grant funding or budget transfers. The Civic Space Team remains responsible for the contracting, procurement, financial management, and payment of approved experts, suppliers, and service providers.</w:t>
      </w:r>
    </w:p>
    <w:p w14:paraId="1A39BD14"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Approval of an action under the Grow Civic Facility does not constitute an entitlement to future support, continuation of support, or additional financing beyond the approved scope and duration of the supported action.</w:t>
      </w:r>
    </w:p>
    <w:p w14:paraId="341774EB"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2.1 Selection and Engagement of Service Providers and Experts</w:t>
      </w:r>
    </w:p>
    <w:p w14:paraId="02ED2E3F"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Beneficiaries are encouraged to select experts and service providers from the pre-qualified Pools of Experts and Service Providers annexed to these Guidelines (Catalogues). The Pools are organised by thematic categories and service areas in order to facilitate transparent, efficient, and quality-oriented implementation support.</w:t>
      </w:r>
    </w:p>
    <w:p w14:paraId="6013D651"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 xml:space="preserve">Once the implementation needs of the approved action have been identified, the beneficiary should contact one or more relevant providers from the applicable category and request quotations, offers, </w:t>
      </w:r>
      <w:r w:rsidRPr="00ED5F79">
        <w:rPr>
          <w:rFonts w:ascii="Times New Roman" w:eastAsia="Times New Roman" w:hAnsi="Times New Roman" w:cs="Times New Roman"/>
          <w:sz w:val="24"/>
          <w:szCs w:val="24"/>
          <w:lang w:val="en-US" w:eastAsia="tr-TR"/>
        </w:rPr>
        <w:lastRenderedPageBreak/>
        <w:t>work plans, or service proposals, depending on the nature of the required support. The Civic Space Team must be copied in all formal communication related to quotations, negotiations, scope of services, and implementation arrangements.</w:t>
      </w:r>
    </w:p>
    <w:p w14:paraId="7411BA71"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Following the receipt and review of quotations or service offers, the beneficiary should identify the preferred provider based on considerations such as relevance, expertise, availability, operational feasibility, quality of the proposed service, and value for money. The beneficiary shall then submit a short justification and recommendation to the Civic Space Team for review and approval.</w:t>
      </w:r>
    </w:p>
    <w:p w14:paraId="672A69CC"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The Civic Space Team reserves the right to request additional quotations, clarifications, adjustments to the proposed scope of work, or alternative providers where necessary in order to ensure transparency, cost-effectiveness, quality standards, operational feasibility, and alignment with the objectives of the Grow Civic Facility.</w:t>
      </w:r>
    </w:p>
    <w:p w14:paraId="6129B4EA"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 xml:space="preserve">Please note that no commitments, procurement arrangements, implementation agreements, or service engagements may be initiated prior to formal approval by the Civic Space Team. The Civic Space Team remains solely responsible for the contractual engagement and payment of approved experts and service providers. In addition, experts need to be also approved by the Contracting Authority of the Civic Space project (European Commission). </w:t>
      </w:r>
    </w:p>
    <w:p w14:paraId="180E4DE0"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For services covered under the Grow Civic Service Provider Pool, beneficiaries are encouraged to select providers from the approved lists annexed to these Guidelines (Catalogue of Service Providers).</w:t>
      </w:r>
    </w:p>
    <w:p w14:paraId="77CE4E2F"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Once implementation needs have been identified, beneficiaries should request quotations from one or more providers under the relevant service category. The Civic Space Team must be copied in all formal communication with service providers.</w:t>
      </w:r>
    </w:p>
    <w:p w14:paraId="409A49AD"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Following review of the quotations received, beneficiaries should recommend the preferred provider based on quality, relevance, operational feasibility, and value for money. Final approval remains subject to confirmation by the Civic Space Team. No services may commence prior to receiving formal written approval.</w:t>
      </w:r>
    </w:p>
    <w:p w14:paraId="7A093B33" w14:textId="77777777" w:rsidR="00ED5F79" w:rsidRPr="00ED5F79" w:rsidRDefault="00ED5F79" w:rsidP="00ED5F79">
      <w:pPr>
        <w:spacing w:before="100" w:beforeAutospacing="1" w:after="100" w:afterAutospacing="1"/>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Principles to Be Respected During Provider Selection</w:t>
      </w:r>
    </w:p>
    <w:p w14:paraId="4F310D0F" w14:textId="77777777" w:rsidR="00ED5F79" w:rsidRPr="00ED5F79" w:rsidRDefault="00ED5F79" w:rsidP="00ED5F79">
      <w:pPr>
        <w:numPr>
          <w:ilvl w:val="0"/>
          <w:numId w:val="6"/>
        </w:numPr>
        <w:spacing w:before="100" w:beforeAutospacing="1" w:after="100" w:afterAutospacing="1" w:line="276" w:lineRule="auto"/>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 xml:space="preserve">avoidance of conflict of interest; </w:t>
      </w:r>
    </w:p>
    <w:p w14:paraId="27CEEA44" w14:textId="77777777" w:rsidR="00ED5F79" w:rsidRPr="00ED5F79" w:rsidRDefault="00ED5F79" w:rsidP="00ED5F79">
      <w:pPr>
        <w:numPr>
          <w:ilvl w:val="0"/>
          <w:numId w:val="6"/>
        </w:numPr>
        <w:spacing w:before="100" w:beforeAutospacing="1" w:after="100" w:afterAutospacing="1" w:line="276" w:lineRule="auto"/>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 xml:space="preserve">equal and fair treatment of providers; </w:t>
      </w:r>
    </w:p>
    <w:p w14:paraId="47FE092C" w14:textId="77777777" w:rsidR="00ED5F79" w:rsidRPr="00ED5F79" w:rsidRDefault="00ED5F79" w:rsidP="00ED5F79">
      <w:pPr>
        <w:numPr>
          <w:ilvl w:val="0"/>
          <w:numId w:val="6"/>
        </w:numPr>
        <w:spacing w:before="100" w:beforeAutospacing="1" w:after="100" w:afterAutospacing="1" w:line="276" w:lineRule="auto"/>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 xml:space="preserve">transparency and proportionality; </w:t>
      </w:r>
    </w:p>
    <w:p w14:paraId="77B2A7FC" w14:textId="77777777" w:rsidR="00ED5F79" w:rsidRPr="00ED5F79" w:rsidRDefault="00ED5F79" w:rsidP="00ED5F79">
      <w:pPr>
        <w:numPr>
          <w:ilvl w:val="0"/>
          <w:numId w:val="6"/>
        </w:numPr>
        <w:spacing w:before="100" w:beforeAutospacing="1" w:after="100" w:afterAutospacing="1" w:line="276" w:lineRule="auto"/>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 xml:space="preserve">objective evaluation of quotations and offers; </w:t>
      </w:r>
    </w:p>
    <w:p w14:paraId="1BE367EF" w14:textId="77777777" w:rsidR="00ED5F79" w:rsidRPr="00ED5F79" w:rsidRDefault="00ED5F79" w:rsidP="00ED5F79">
      <w:pPr>
        <w:numPr>
          <w:ilvl w:val="0"/>
          <w:numId w:val="6"/>
        </w:numPr>
        <w:spacing w:before="100" w:beforeAutospacing="1" w:after="100" w:afterAutospacing="1" w:line="276" w:lineRule="auto"/>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 xml:space="preserve">value for money and operational suitability; </w:t>
      </w:r>
    </w:p>
    <w:p w14:paraId="7E16F930" w14:textId="77777777" w:rsidR="00ED5F79" w:rsidRPr="00ED5F79" w:rsidRDefault="00ED5F79" w:rsidP="00ED5F79">
      <w:pPr>
        <w:numPr>
          <w:ilvl w:val="0"/>
          <w:numId w:val="6"/>
        </w:numPr>
        <w:spacing w:before="100" w:beforeAutospacing="1" w:after="100" w:afterAutospacing="1" w:line="276" w:lineRule="auto"/>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 xml:space="preserve">appropriate consideration of quality, expertise, and implementation capacity. </w:t>
      </w:r>
    </w:p>
    <w:p w14:paraId="52629D93" w14:textId="77777777" w:rsidR="00ED5F79" w:rsidRDefault="00ED5F79" w:rsidP="00ED5F79">
      <w:pPr>
        <w:spacing w:before="100" w:beforeAutospacing="1" w:after="100" w:afterAutospacing="1"/>
        <w:rPr>
          <w:rFonts w:ascii="Times New Roman" w:eastAsia="Times New Roman" w:hAnsi="Times New Roman" w:cs="Times New Roman"/>
          <w:sz w:val="24"/>
          <w:szCs w:val="24"/>
          <w:lang w:val="tr-TR" w:eastAsia="tr-TR"/>
        </w:rPr>
      </w:pPr>
      <w:r w:rsidRPr="00ED5F79">
        <w:rPr>
          <w:rFonts w:ascii="Times New Roman" w:eastAsia="Times New Roman" w:hAnsi="Times New Roman" w:cs="Times New Roman"/>
          <w:sz w:val="24"/>
          <w:szCs w:val="24"/>
          <w:lang w:val="tr-TR" w:eastAsia="tr-TR"/>
        </w:rPr>
        <w:t>As the Grow Civic Facility is funded by the European Union, procurement of eligible goods and services benefit from VAT exemption arrangements. Service providers and experts should be informed accordingly during the negotiation and contracting stage.</w:t>
      </w:r>
    </w:p>
    <w:p w14:paraId="34ED0CE7" w14:textId="30E972F9" w:rsidR="00DF0D8F" w:rsidRPr="00DF0D8F" w:rsidRDefault="00DF0D8F" w:rsidP="00DF0D8F">
      <w:pPr>
        <w:spacing w:before="100" w:beforeAutospacing="1" w:after="100" w:afterAutospacing="1"/>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B</w:t>
      </w:r>
      <w:r w:rsidRPr="00DF0D8F">
        <w:rPr>
          <w:rFonts w:ascii="Times New Roman" w:eastAsia="Times New Roman" w:hAnsi="Times New Roman" w:cs="Times New Roman"/>
          <w:sz w:val="24"/>
          <w:szCs w:val="24"/>
          <w:lang w:val="en-US" w:eastAsia="tr-TR"/>
        </w:rPr>
        <w:t xml:space="preserve">eneficiaries may also propose experts or service providers </w:t>
      </w:r>
      <w:r>
        <w:rPr>
          <w:rFonts w:ascii="Times New Roman" w:eastAsia="Times New Roman" w:hAnsi="Times New Roman" w:cs="Times New Roman"/>
          <w:sz w:val="24"/>
          <w:szCs w:val="24"/>
          <w:lang w:val="en-US" w:eastAsia="tr-TR"/>
        </w:rPr>
        <w:t xml:space="preserve">or experts </w:t>
      </w:r>
      <w:r w:rsidRPr="00DF0D8F">
        <w:rPr>
          <w:rFonts w:ascii="Times New Roman" w:eastAsia="Times New Roman" w:hAnsi="Times New Roman" w:cs="Times New Roman"/>
          <w:sz w:val="24"/>
          <w:szCs w:val="24"/>
          <w:lang w:val="en-US" w:eastAsia="tr-TR"/>
        </w:rPr>
        <w:t>outside the Grow Civic Pools where this is justified by the specific requirements of the action. Such cases may include, but are not limited to:</w:t>
      </w:r>
    </w:p>
    <w:p w14:paraId="0514D436" w14:textId="77777777" w:rsidR="00DF0D8F" w:rsidRPr="00DF0D8F" w:rsidRDefault="00DF0D8F" w:rsidP="00DF0D8F">
      <w:pPr>
        <w:numPr>
          <w:ilvl w:val="0"/>
          <w:numId w:val="27"/>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lastRenderedPageBreak/>
        <w:t>the need for highly specialised expertise not available within the Pool;</w:t>
      </w:r>
    </w:p>
    <w:p w14:paraId="0B1DCA60" w14:textId="77777777" w:rsidR="00DF0D8F" w:rsidRPr="00DF0D8F" w:rsidRDefault="00DF0D8F" w:rsidP="00DF0D8F">
      <w:pPr>
        <w:numPr>
          <w:ilvl w:val="0"/>
          <w:numId w:val="27"/>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specific language, sectoral, geographic, or technical requirements;</w:t>
      </w:r>
    </w:p>
    <w:p w14:paraId="10E9858B" w14:textId="77777777" w:rsidR="00DF0D8F" w:rsidRPr="00DF0D8F" w:rsidRDefault="00DF0D8F" w:rsidP="00DF0D8F">
      <w:pPr>
        <w:numPr>
          <w:ilvl w:val="0"/>
          <w:numId w:val="27"/>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availability constraints affecting implementation timelines;</w:t>
      </w:r>
    </w:p>
    <w:p w14:paraId="69B4CF9B" w14:textId="77777777" w:rsidR="00DF0D8F" w:rsidRPr="00DF0D8F" w:rsidRDefault="00DF0D8F" w:rsidP="00DF0D8F">
      <w:pPr>
        <w:numPr>
          <w:ilvl w:val="0"/>
          <w:numId w:val="27"/>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continuity considerations linked to previous work of the beneficiary; or</w:t>
      </w:r>
    </w:p>
    <w:p w14:paraId="588D4A4B" w14:textId="77777777" w:rsidR="00DF0D8F" w:rsidRPr="00DF0D8F" w:rsidRDefault="00DF0D8F" w:rsidP="00DF0D8F">
      <w:pPr>
        <w:numPr>
          <w:ilvl w:val="0"/>
          <w:numId w:val="27"/>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other duly justified operational reasons.</w:t>
      </w:r>
    </w:p>
    <w:p w14:paraId="3F68090C" w14:textId="77777777" w:rsidR="00DF0D8F" w:rsidRPr="00DF0D8F" w:rsidRDefault="00DF0D8F" w:rsidP="00DF0D8F">
      <w:p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Where a beneficiary wishes to propose an external expert or service provider, the following procedure shall apply:</w:t>
      </w:r>
    </w:p>
    <w:p w14:paraId="152FD71F" w14:textId="6A5181E2" w:rsidR="00DF0D8F" w:rsidRPr="00DF0D8F" w:rsidRDefault="00DF0D8F" w:rsidP="00DF0D8F">
      <w:pPr>
        <w:numPr>
          <w:ilvl w:val="0"/>
          <w:numId w:val="28"/>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The beneficiary shall submit a written justification to the Civic Space Team explaining the need for the proposed expert or provider and demonstrating why the available Pool does not adequately meet the implementation requirements.</w:t>
      </w:r>
      <w:r>
        <w:rPr>
          <w:rFonts w:ascii="Times New Roman" w:eastAsia="Times New Roman" w:hAnsi="Times New Roman" w:cs="Times New Roman"/>
          <w:sz w:val="24"/>
          <w:szCs w:val="24"/>
          <w:lang w:val="en-US" w:eastAsia="tr-TR"/>
        </w:rPr>
        <w:t xml:space="preserve"> (see application form)</w:t>
      </w:r>
    </w:p>
    <w:p w14:paraId="675C77DB" w14:textId="77777777" w:rsidR="00DF0D8F" w:rsidRPr="00DF0D8F" w:rsidRDefault="00DF0D8F" w:rsidP="00DF0D8F">
      <w:pPr>
        <w:numPr>
          <w:ilvl w:val="0"/>
          <w:numId w:val="28"/>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The beneficiary shall provide the proposed expert's or provider's profile, relevant qualifications, references, and a financial offer or quotation.</w:t>
      </w:r>
    </w:p>
    <w:p w14:paraId="616F0438" w14:textId="77777777" w:rsidR="00DF0D8F" w:rsidRPr="00DF0D8F" w:rsidRDefault="00DF0D8F" w:rsidP="00DF0D8F">
      <w:pPr>
        <w:numPr>
          <w:ilvl w:val="0"/>
          <w:numId w:val="28"/>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The Civic Space Team shall review the proposal against the principles of transparency, value for money, operational feasibility, conflict-of-interest prevention, and quality assurance.</w:t>
      </w:r>
    </w:p>
    <w:p w14:paraId="7B01B540" w14:textId="6867B437" w:rsidR="00DF0D8F" w:rsidRPr="00DF0D8F" w:rsidRDefault="00DF0D8F" w:rsidP="00DF0D8F">
      <w:pPr>
        <w:numPr>
          <w:ilvl w:val="0"/>
          <w:numId w:val="28"/>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 xml:space="preserve">Where required under the applicable project procedures, the proposed </w:t>
      </w:r>
      <w:r>
        <w:rPr>
          <w:rFonts w:ascii="Times New Roman" w:eastAsia="Times New Roman" w:hAnsi="Times New Roman" w:cs="Times New Roman"/>
          <w:sz w:val="24"/>
          <w:szCs w:val="24"/>
          <w:lang w:val="en-US" w:eastAsia="tr-TR"/>
        </w:rPr>
        <w:t xml:space="preserve">service </w:t>
      </w:r>
      <w:r w:rsidRPr="00DF0D8F">
        <w:rPr>
          <w:rFonts w:ascii="Times New Roman" w:eastAsia="Times New Roman" w:hAnsi="Times New Roman" w:cs="Times New Roman"/>
          <w:sz w:val="24"/>
          <w:szCs w:val="24"/>
          <w:lang w:val="en-US" w:eastAsia="tr-TR"/>
        </w:rPr>
        <w:t>provider may also be subject to review and approval by the Contracting Authority.</w:t>
      </w:r>
      <w:r>
        <w:rPr>
          <w:rFonts w:ascii="Times New Roman" w:eastAsia="Times New Roman" w:hAnsi="Times New Roman" w:cs="Times New Roman"/>
          <w:sz w:val="24"/>
          <w:szCs w:val="24"/>
          <w:lang w:val="en-US" w:eastAsia="tr-TR"/>
        </w:rPr>
        <w:t xml:space="preserve"> Review and approval is mandarory in cases of experts not in the pool. </w:t>
      </w:r>
    </w:p>
    <w:p w14:paraId="0B936172" w14:textId="77777777" w:rsidR="00DF0D8F" w:rsidRPr="00DF0D8F" w:rsidRDefault="00DF0D8F" w:rsidP="00DF0D8F">
      <w:pPr>
        <w:numPr>
          <w:ilvl w:val="0"/>
          <w:numId w:val="28"/>
        </w:numPr>
        <w:spacing w:before="100" w:beforeAutospacing="1" w:after="100" w:afterAutospacing="1"/>
        <w:rPr>
          <w:rFonts w:ascii="Times New Roman" w:eastAsia="Times New Roman" w:hAnsi="Times New Roman" w:cs="Times New Roman"/>
          <w:sz w:val="24"/>
          <w:szCs w:val="24"/>
          <w:lang w:val="en-US" w:eastAsia="tr-TR"/>
        </w:rPr>
      </w:pPr>
      <w:r w:rsidRPr="00DF0D8F">
        <w:rPr>
          <w:rFonts w:ascii="Times New Roman" w:eastAsia="Times New Roman" w:hAnsi="Times New Roman" w:cs="Times New Roman"/>
          <w:sz w:val="24"/>
          <w:szCs w:val="24"/>
          <w:lang w:val="en-US" w:eastAsia="tr-TR"/>
        </w:rPr>
        <w:t>No commitment, engagement, procurement action, or commencement of services may take place before written approval has been provided by the Civic Space Team.</w:t>
      </w:r>
    </w:p>
    <w:p w14:paraId="2C43E30D"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2.2 Delivery Verification and Payment Arrangements</w:t>
      </w:r>
    </w:p>
    <w:p w14:paraId="436A2A9C"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Upon completion of the agreed services or delivery of goods, the beneficiary is responsible for verifying that the services, deliverables, or procured items have been received in accordance with the agreed scope, expected quality standards, and implementation requirements.</w:t>
      </w:r>
    </w:p>
    <w:p w14:paraId="5AF1880C"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The beneficiary shall formally confirm to the Civic Space Team that the services or deliverables have been satisfactorily completed. Where applicable, supporting documentation such as attendance lists, deliverables, reports, visibility materials, photographs, or acceptance confirmations may also be requested.</w:t>
      </w:r>
    </w:p>
    <w:p w14:paraId="7EFD2B58"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Following verification and acceptance of the services, the Civic Space Team will proceed with the payment directly to the contracted expert, supplier, or service provider in accordance with the applicable contractual and financial procedures of the Grow Civic Facility.</w:t>
      </w:r>
    </w:p>
    <w:p w14:paraId="5174B9E4" w14:textId="77777777" w:rsidR="00ED5F79" w:rsidRPr="00ED5F79" w:rsidRDefault="00ED5F79" w:rsidP="00ED5F79">
      <w:pPr>
        <w:keepNext/>
        <w:keepLines/>
        <w:spacing w:before="48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3. Visibility and Communication</w:t>
      </w:r>
    </w:p>
    <w:p w14:paraId="060C4177"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All actions supported under the Grow Civic Facility must fully comply with the applicable European Union visibility, communication, and acknowledgement requirements, as well as the specific visibility rules established by the Civic Space Project and the Contracting Authority.</w:t>
      </w:r>
    </w:p>
    <w:p w14:paraId="1F381958"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All visibility activities, communication outputs, public events, publications, campaigns, digital products, media content, printed materials, audiovisual productions, and dissemination activities shall be implemented in close coordination with the Civic Space Team in order to ensure compliance with EU visibility standards, institutional communication requirements, and applicable approval procedures.</w:t>
      </w:r>
    </w:p>
    <w:p w14:paraId="463117C4"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lastRenderedPageBreak/>
        <w:t>Beneficiaries are required to follow the Grow Civic Visibility Guidelines and any additional instructions provided by the Civic Space Team regarding branding, acknowledgements, disclaimers, logos, templates, publication standards, and communication procedures.</w:t>
      </w:r>
    </w:p>
    <w:p w14:paraId="64698907" w14:textId="13D16C86"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All materials and output produced with the support of the Grow Civic Facility, including printed materials, presentations, reports, studies, social media visuals, videos, websites, banners, training materials, promotional items, publications, and digital content, must include:</w:t>
      </w:r>
    </w:p>
    <w:p w14:paraId="3FBAAEAE" w14:textId="77777777" w:rsidR="00ED5F79" w:rsidRPr="00ED5F79" w:rsidRDefault="00ED5F79" w:rsidP="00ED5F79">
      <w:pPr>
        <w:numPr>
          <w:ilvl w:val="0"/>
          <w:numId w:val="7"/>
        </w:numPr>
        <w:spacing w:before="120" w:after="120" w:line="276" w:lineRule="auto"/>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 xml:space="preserve">the Civic Space logo; </w:t>
      </w:r>
    </w:p>
    <w:p w14:paraId="77CC1A94" w14:textId="77777777" w:rsidR="00ED5F79" w:rsidRPr="00ED5F79" w:rsidRDefault="00ED5F79" w:rsidP="00ED5F79">
      <w:pPr>
        <w:numPr>
          <w:ilvl w:val="0"/>
          <w:numId w:val="7"/>
        </w:numPr>
        <w:spacing w:before="120" w:after="120" w:line="276" w:lineRule="auto"/>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 xml:space="preserve">the European Union emblem; and </w:t>
      </w:r>
    </w:p>
    <w:p w14:paraId="6C24AA02" w14:textId="77777777" w:rsidR="00ED5F79" w:rsidRPr="00ED5F79" w:rsidRDefault="00ED5F79" w:rsidP="00ED5F79">
      <w:pPr>
        <w:numPr>
          <w:ilvl w:val="0"/>
          <w:numId w:val="7"/>
        </w:numPr>
        <w:spacing w:before="120" w:after="120" w:line="276" w:lineRule="auto"/>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 xml:space="preserve">the required disclaimer text and/or funding statement, </w:t>
      </w:r>
    </w:p>
    <w:p w14:paraId="559AED83"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in accordance with the applicable visibility guidelines and approved templates.</w:t>
      </w:r>
    </w:p>
    <w:p w14:paraId="33968BE3"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Beneficiaries are strongly encouraged to plan visibility and communication outputs sufficiently in advance. As a general rule, all draft communication and visibility materials should be submitted to the Civic Space Team for review at least fifteen (15) calendar days prior to the planned production, publication, printing, dissemination, or public use.</w:t>
      </w:r>
    </w:p>
    <w:p w14:paraId="31816061"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Please note that visibility and communication materials also require review, revision, clearance, or approval by the Contracting Authority. Additional comments, corrections, or modifications may therefore be requested during the review process.</w:t>
      </w:r>
    </w:p>
    <w:p w14:paraId="4B5B25B4" w14:textId="77777777" w:rsidR="00ED5F79" w:rsidRPr="00ED5F79" w:rsidRDefault="00ED5F79" w:rsidP="00ED5F79">
      <w:pPr>
        <w:spacing w:before="120" w:after="120"/>
        <w:jc w:val="both"/>
        <w:rPr>
          <w:rFonts w:ascii="Times New Roman" w:eastAsia="Times New Roman" w:hAnsi="Times New Roman" w:cs="Times New Roman"/>
          <w:sz w:val="24"/>
          <w:szCs w:val="24"/>
          <w:lang w:val="en-US" w:eastAsia="tr-TR"/>
        </w:rPr>
      </w:pPr>
      <w:r w:rsidRPr="00ED5F79">
        <w:rPr>
          <w:rFonts w:ascii="Times New Roman" w:eastAsia="Times New Roman" w:hAnsi="Times New Roman" w:cs="Times New Roman"/>
          <w:sz w:val="24"/>
          <w:szCs w:val="24"/>
          <w:lang w:val="en-US" w:eastAsia="tr-TR"/>
        </w:rPr>
        <w:t>No material, publication, communication product, visibility item, audiovisual content, printed output, or dissemination material produced under the supported action may be printed, published, distributed, publicly displayed, or disseminated prior to receiving formal written approval from the Civic Space Team.</w:t>
      </w:r>
    </w:p>
    <w:p w14:paraId="02C25AA3" w14:textId="77777777" w:rsidR="00ED5F79" w:rsidRPr="00ED5F79" w:rsidRDefault="00ED5F79" w:rsidP="00ED5F79">
      <w:pPr>
        <w:keepNext/>
        <w:keepLines/>
        <w:spacing w:before="48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4. Activity and Budget Modifications</w:t>
      </w:r>
    </w:p>
    <w:p w14:paraId="751BD66F"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Beneficiaries may request modifications to the approved action plan, implementation timeline, budget allocation, activities, service arrangements, or operational modalities during the implementation period, where such changes are necessary to ensure effective implementation of the action. </w:t>
      </w:r>
    </w:p>
    <w:p w14:paraId="47FE5B82"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Any proposed modification must remain consistent with the overall purpose of the approved action and must not fundamentally alter its core objectives, expected results, target groups, nature of support, or overall rationale as approved under the Grow Civic Facility.</w:t>
      </w:r>
    </w:p>
    <w:p w14:paraId="04096C76"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modifications, adjustments, or implementation changes require prior written approval from the Civic Space Team before they may be implemented. Requests for modifications must be submitted in writing and should include:</w:t>
      </w:r>
    </w:p>
    <w:p w14:paraId="7892A35C" w14:textId="77777777" w:rsidR="00ED5F79" w:rsidRPr="00ED5F79" w:rsidRDefault="00ED5F79" w:rsidP="00ED5F79">
      <w:pPr>
        <w:numPr>
          <w:ilvl w:val="0"/>
          <w:numId w:val="8"/>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 clear explanation and justification for the requested change; </w:t>
      </w:r>
    </w:p>
    <w:p w14:paraId="2C91FEFA" w14:textId="77777777" w:rsidR="00ED5F79" w:rsidRPr="00ED5F79" w:rsidRDefault="00ED5F79" w:rsidP="00ED5F79">
      <w:pPr>
        <w:numPr>
          <w:ilvl w:val="0"/>
          <w:numId w:val="8"/>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the operational or contextual reasons necessitating the modification; </w:t>
      </w:r>
    </w:p>
    <w:p w14:paraId="77EF8EB7" w14:textId="77777777" w:rsidR="00ED5F79" w:rsidRPr="00ED5F79" w:rsidRDefault="00ED5F79" w:rsidP="00ED5F79">
      <w:pPr>
        <w:numPr>
          <w:ilvl w:val="0"/>
          <w:numId w:val="8"/>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the expected impact of the change on the implementation of the action; and </w:t>
      </w:r>
    </w:p>
    <w:p w14:paraId="3C42F0C7" w14:textId="77777777" w:rsidR="00ED5F79" w:rsidRPr="00ED5F79" w:rsidRDefault="00ED5F79" w:rsidP="00ED5F79">
      <w:pPr>
        <w:numPr>
          <w:ilvl w:val="0"/>
          <w:numId w:val="8"/>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any revised documents, timelines, budgets, work plans, or implementation arrangements, where applicable. </w:t>
      </w:r>
    </w:p>
    <w:p w14:paraId="6F1BC427"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reserves the right to request additional information, clarifications, revised documentation, or supporting evidence prior to approving any modification request.</w:t>
      </w:r>
    </w:p>
    <w:p w14:paraId="1740FF69"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lastRenderedPageBreak/>
        <w:t>Changes implemented without prior written approval from the Civic Space Team may be considered ineligible and may result in non-acceptance of related expenditures, suspension of support, or cancellation of the action where deemed necessary.</w:t>
      </w:r>
    </w:p>
    <w:p w14:paraId="339320B5" w14:textId="77777777" w:rsidR="00ED5F79" w:rsidRPr="00ED5F79" w:rsidRDefault="00ED5F79" w:rsidP="00ED5F79">
      <w:pPr>
        <w:keepNext/>
        <w:keepLines/>
        <w:spacing w:before="48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5. Supporting Documentation and Verification requirements</w:t>
      </w:r>
    </w:p>
    <w:p w14:paraId="2E5A971F"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section provides guidance on the supporting documentation and verification materials required for the implementation of actions supported under the Grow Civic Facility. Supporting documents serve as evidence that activities have been implemented in accordance with the approved action plan, that services and deliverables have been satisfactorily completed, and that the expected outputs and results of the action have been achieved.</w:t>
      </w:r>
    </w:p>
    <w:p w14:paraId="64645228"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are responsible for collecting, organising, maintaining, and safely storing all supporting documentation related to the implementation of their supported action. All supporting documents must be complete, verifiable, and available prior to the submission of any payment request, reimbursement request, verification process, or final reporting stage.</w:t>
      </w:r>
    </w:p>
    <w:p w14:paraId="77B0B6D3"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Failure to provide adequate supporting documentation, evidence of implementation, or proof of delivery may result in delays in processing payments, suspension of support, requests for clarification, rejection of related expenditures, or non-acceptance of specific activities or outputs.</w:t>
      </w:r>
    </w:p>
    <w:p w14:paraId="5162A4E0"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Please note that the lists of supporting documents provided below are indicative and non-exhaustive. Depending on the nature of the activity, the Civic Space Team may request additional evidence, verification materials, or supporting documentation where necessary.</w:t>
      </w:r>
    </w:p>
    <w:p w14:paraId="505C18B0"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4F81BD"/>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5.1 Research, Studies and Policy Analysis</w:t>
      </w:r>
    </w:p>
    <w:p w14:paraId="782C06AE"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studies, assessments, surveys, public opinion research, stakeholder mapping, policy analysis, legal analysis, data collection activities, and evidence-based reporting.</w:t>
      </w:r>
    </w:p>
    <w:p w14:paraId="4C092CE2"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170BB4B1" w14:textId="77777777" w:rsidR="00ED5F79" w:rsidRPr="00ED5F79" w:rsidRDefault="00ED5F79" w:rsidP="00ED5F79">
      <w:pPr>
        <w:numPr>
          <w:ilvl w:val="0"/>
          <w:numId w:val="9"/>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Final reports, studies, assessments, or policy papers; </w:t>
      </w:r>
    </w:p>
    <w:p w14:paraId="371FB4EE" w14:textId="77777777" w:rsidR="00ED5F79" w:rsidRPr="00ED5F79" w:rsidRDefault="00ED5F79" w:rsidP="00ED5F79">
      <w:pPr>
        <w:numPr>
          <w:ilvl w:val="0"/>
          <w:numId w:val="9"/>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Annexes and supporting analytical materials; </w:t>
      </w:r>
    </w:p>
    <w:p w14:paraId="566CE501" w14:textId="77777777" w:rsidR="00ED5F79" w:rsidRPr="00ED5F79" w:rsidRDefault="00ED5F79" w:rsidP="00ED5F79">
      <w:pPr>
        <w:numPr>
          <w:ilvl w:val="0"/>
          <w:numId w:val="9"/>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Survey questionnaires and data collection tools; </w:t>
      </w:r>
    </w:p>
    <w:p w14:paraId="2A9A2956" w14:textId="77777777" w:rsidR="00ED5F79" w:rsidRPr="00ED5F79" w:rsidRDefault="00ED5F79" w:rsidP="00ED5F79">
      <w:pPr>
        <w:numPr>
          <w:ilvl w:val="0"/>
          <w:numId w:val="9"/>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Raw or processed datasets, where applicable; </w:t>
      </w:r>
    </w:p>
    <w:p w14:paraId="77309723" w14:textId="77777777" w:rsidR="00ED5F79" w:rsidRPr="00ED5F79" w:rsidRDefault="00ED5F79" w:rsidP="00ED5F79">
      <w:pPr>
        <w:numPr>
          <w:ilvl w:val="0"/>
          <w:numId w:val="9"/>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Interview summaries, focus group records, or consultation summaries, where relevant; </w:t>
      </w:r>
    </w:p>
    <w:p w14:paraId="1E23242F" w14:textId="77777777" w:rsidR="00ED5F79" w:rsidRPr="00ED5F79" w:rsidRDefault="00ED5F79" w:rsidP="00ED5F79">
      <w:pPr>
        <w:numPr>
          <w:ilvl w:val="0"/>
          <w:numId w:val="9"/>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Links to published outputs or dissemination materials, where applicable.</w:t>
      </w:r>
    </w:p>
    <w:p w14:paraId="452FEC53"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4F81BD"/>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5.2. Communication and Campaign Production</w:t>
      </w:r>
    </w:p>
    <w:p w14:paraId="5A8A1068"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awareness-raising campaigns, advocacy campaigns, communication strategies, messaging development, storytelling initiatives, social media content, outreach activities, printed communication materials, and digital campaign products.</w:t>
      </w:r>
    </w:p>
    <w:p w14:paraId="7DA440F7"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printed and digital communication products must comply with the Grow Civic Visibility Guidelines and applicable EU visibility requirements.</w:t>
      </w:r>
    </w:p>
    <w:p w14:paraId="215D461C"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125755C0"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Copies of printed materials;</w:t>
      </w:r>
    </w:p>
    <w:p w14:paraId="3B81555B"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lastRenderedPageBreak/>
        <w:t>Screenshots, links, or archives of digital content;</w:t>
      </w:r>
    </w:p>
    <w:p w14:paraId="6BB45D25"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Social media analytics or screenshots, where relevant;</w:t>
      </w:r>
    </w:p>
    <w:p w14:paraId="01665386"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Campaign visuals, communication products, or dissemination evidence;</w:t>
      </w:r>
    </w:p>
    <w:p w14:paraId="4D9EF18D"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Media coverage or publication evidence, where applicable.</w:t>
      </w:r>
    </w:p>
    <w:p w14:paraId="65A59F10"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5.3. Graphic Design, Audiovisual and Creative Production</w:t>
      </w:r>
    </w:p>
    <w:p w14:paraId="1DD4233F"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graphic design services, publication layout and formatting, visual identity development, video production, photography, animation, motion graphics, and creative communication outputs.</w:t>
      </w:r>
    </w:p>
    <w:p w14:paraId="6E58FA15"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visual and audiovisual materials must comply with the Grow Civic Visibility Guidelines and receive prior approval before dissemination.</w:t>
      </w:r>
    </w:p>
    <w:p w14:paraId="667EDB6E"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2BB50911"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Final graphic products and design files; </w:t>
      </w:r>
    </w:p>
    <w:p w14:paraId="5B299F8D"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Videos, animations, or audiovisual outputs; </w:t>
      </w:r>
    </w:p>
    <w:p w14:paraId="66DABDE9"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Photographs and visual documentation; </w:t>
      </w:r>
    </w:p>
    <w:p w14:paraId="70B47DBE"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Screenshots, links, or digital archives; </w:t>
      </w:r>
    </w:p>
    <w:p w14:paraId="5748C3A7" w14:textId="77777777" w:rsidR="00ED5F79" w:rsidRPr="00ED5F79" w:rsidRDefault="00ED5F79" w:rsidP="00ED5F79">
      <w:pPr>
        <w:numPr>
          <w:ilvl w:val="0"/>
          <w:numId w:val="10"/>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Copies of printed visuals or campaign materials.</w:t>
      </w:r>
    </w:p>
    <w:p w14:paraId="1D86D196"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5.4. Publications and Knowledge Products</w:t>
      </w:r>
    </w:p>
    <w:p w14:paraId="58231AE4"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editing, proofreading, formatting, publication design, manuals, toolkits, policy briefs, reports, and other knowledge products.</w:t>
      </w:r>
    </w:p>
    <w:p w14:paraId="55CB8DE5"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publications must comply with the Grow Civic Visibility Guidelines and applicable approval procedures.</w:t>
      </w:r>
    </w:p>
    <w:p w14:paraId="7D0F67B3"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530A323E" w14:textId="77777777" w:rsidR="00ED5F79" w:rsidRPr="00ED5F79" w:rsidRDefault="00ED5F79" w:rsidP="00ED5F79">
      <w:pPr>
        <w:numPr>
          <w:ilvl w:val="0"/>
          <w:numId w:val="11"/>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Final published versions; </w:t>
      </w:r>
    </w:p>
    <w:p w14:paraId="493643DF" w14:textId="77777777" w:rsidR="00ED5F79" w:rsidRPr="00ED5F79" w:rsidRDefault="00ED5F79" w:rsidP="00ED5F79">
      <w:pPr>
        <w:numPr>
          <w:ilvl w:val="0"/>
          <w:numId w:val="11"/>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Digital copies or links to publications; </w:t>
      </w:r>
    </w:p>
    <w:p w14:paraId="41D6A990" w14:textId="77777777" w:rsidR="00ED5F79" w:rsidRPr="00ED5F79" w:rsidRDefault="00ED5F79" w:rsidP="00ED5F79">
      <w:pPr>
        <w:numPr>
          <w:ilvl w:val="0"/>
          <w:numId w:val="11"/>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Draft and final layouts, where relevant; </w:t>
      </w:r>
    </w:p>
    <w:p w14:paraId="6333D433" w14:textId="77777777" w:rsidR="00ED5F79" w:rsidRPr="00ED5F79" w:rsidRDefault="00ED5F79" w:rsidP="00ED5F79">
      <w:pPr>
        <w:numPr>
          <w:ilvl w:val="0"/>
          <w:numId w:val="11"/>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Dissemination evidence, where applicable.</w:t>
      </w:r>
    </w:p>
    <w:p w14:paraId="56608F07"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5.5. Translation and Interpretation Services</w:t>
      </w:r>
    </w:p>
    <w:p w14:paraId="515BEBF7"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translation, language editing, proofreading, interpretation services, and interpretation-related technical support. Beneficiaries remain responsible for reviewing the quality, completeness, and accuracy of translated outputs prior to acceptance.</w:t>
      </w:r>
    </w:p>
    <w:p w14:paraId="4E783633"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Interpretation services may include related technical equipment and operational support where necessary.</w:t>
      </w:r>
    </w:p>
    <w:p w14:paraId="74C429B3"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 – Translation</w:t>
      </w:r>
    </w:p>
    <w:p w14:paraId="2480BCCD" w14:textId="77777777" w:rsidR="00ED5F79" w:rsidRPr="00ED5F79" w:rsidRDefault="00ED5F79" w:rsidP="00ED5F79">
      <w:pPr>
        <w:numPr>
          <w:ilvl w:val="0"/>
          <w:numId w:val="12"/>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Original document; </w:t>
      </w:r>
    </w:p>
    <w:p w14:paraId="79D7D937" w14:textId="77777777" w:rsidR="00ED5F79" w:rsidRPr="00ED5F79" w:rsidRDefault="00ED5F79" w:rsidP="00ED5F79">
      <w:pPr>
        <w:numPr>
          <w:ilvl w:val="0"/>
          <w:numId w:val="12"/>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Final translated version; </w:t>
      </w:r>
    </w:p>
    <w:p w14:paraId="68B4FD87" w14:textId="77777777" w:rsidR="00ED5F79" w:rsidRPr="00ED5F79" w:rsidRDefault="00ED5F79" w:rsidP="00ED5F79">
      <w:pPr>
        <w:numPr>
          <w:ilvl w:val="0"/>
          <w:numId w:val="12"/>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Proof of revision or language editing, where applicable. </w:t>
      </w:r>
    </w:p>
    <w:p w14:paraId="026F0946"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 – Interpretation</w:t>
      </w:r>
    </w:p>
    <w:p w14:paraId="78C3851D" w14:textId="77777777" w:rsidR="00ED5F79" w:rsidRPr="00ED5F79" w:rsidRDefault="00ED5F79" w:rsidP="00ED5F79">
      <w:pPr>
        <w:numPr>
          <w:ilvl w:val="0"/>
          <w:numId w:val="13"/>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lastRenderedPageBreak/>
        <w:t xml:space="preserve">Signed participant lists; </w:t>
      </w:r>
    </w:p>
    <w:p w14:paraId="7FD69CB3" w14:textId="77777777" w:rsidR="00ED5F79" w:rsidRPr="00ED5F79" w:rsidRDefault="00ED5F79" w:rsidP="00ED5F79">
      <w:pPr>
        <w:numPr>
          <w:ilvl w:val="0"/>
          <w:numId w:val="13"/>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Event agenda; </w:t>
      </w:r>
    </w:p>
    <w:p w14:paraId="674676D6" w14:textId="77777777" w:rsidR="00ED5F79" w:rsidRPr="00ED5F79" w:rsidRDefault="00ED5F79" w:rsidP="00ED5F79">
      <w:pPr>
        <w:numPr>
          <w:ilvl w:val="0"/>
          <w:numId w:val="13"/>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Event photographs; </w:t>
      </w:r>
    </w:p>
    <w:p w14:paraId="1549DAAB" w14:textId="77777777" w:rsidR="00ED5F79" w:rsidRPr="00ED5F79" w:rsidRDefault="00ED5F79" w:rsidP="00ED5F79">
      <w:pPr>
        <w:numPr>
          <w:ilvl w:val="0"/>
          <w:numId w:val="13"/>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Photographs of interpretation equipment and booths, where applicable; </w:t>
      </w:r>
    </w:p>
    <w:p w14:paraId="4D568D50" w14:textId="77777777" w:rsidR="00ED5F79" w:rsidRPr="00ED5F79" w:rsidRDefault="00ED5F79" w:rsidP="00ED5F79">
      <w:pPr>
        <w:numPr>
          <w:ilvl w:val="0"/>
          <w:numId w:val="13"/>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Interpretation service reports, where relevant.</w:t>
      </w:r>
    </w:p>
    <w:p w14:paraId="0C7822F0"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4F81BD"/>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5.6. Facilitation, Moderation and Event Support</w:t>
      </w:r>
    </w:p>
    <w:p w14:paraId="77E101BD"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workshops, trainings, conferences, consultations, forums, working groups, networking events, visibility events, study visits, exchange visits, and community engagement activities.</w:t>
      </w:r>
    </w:p>
    <w:p w14:paraId="0E0CA47A"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160E96B1" w14:textId="77777777" w:rsidR="00ED5F79" w:rsidRPr="00ED5F79" w:rsidRDefault="00ED5F79" w:rsidP="00ED5F79">
      <w:pPr>
        <w:numPr>
          <w:ilvl w:val="0"/>
          <w:numId w:val="14"/>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Signed participant lists for each implementation day; </w:t>
      </w:r>
    </w:p>
    <w:p w14:paraId="48B7CAE2" w14:textId="7C67875E" w:rsidR="00ED5F79" w:rsidRPr="00ED5F79" w:rsidRDefault="00ED5F79" w:rsidP="00ED5F79">
      <w:pPr>
        <w:numPr>
          <w:ilvl w:val="0"/>
          <w:numId w:val="14"/>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Event agenda and program</w:t>
      </w:r>
      <w:r w:rsidR="00AD5CF3">
        <w:rPr>
          <w:rFonts w:ascii="Times New Roman" w:eastAsia="MS Mincho" w:hAnsi="Times New Roman" w:cs="Times New Roman"/>
          <w:sz w:val="24"/>
          <w:szCs w:val="24"/>
          <w:lang w:val="en-US" w:eastAsia="en-US"/>
        </w:rPr>
        <w:t>me</w:t>
      </w:r>
      <w:r w:rsidRPr="00ED5F79">
        <w:rPr>
          <w:rFonts w:ascii="Times New Roman" w:eastAsia="MS Mincho" w:hAnsi="Times New Roman" w:cs="Times New Roman"/>
          <w:sz w:val="24"/>
          <w:szCs w:val="24"/>
          <w:lang w:val="en-US" w:eastAsia="en-US"/>
        </w:rPr>
        <w:t xml:space="preserve">; </w:t>
      </w:r>
    </w:p>
    <w:p w14:paraId="4DEF1DFC" w14:textId="77777777" w:rsidR="00ED5F79" w:rsidRPr="00ED5F79" w:rsidRDefault="00ED5F79" w:rsidP="00ED5F79">
      <w:pPr>
        <w:numPr>
          <w:ilvl w:val="0"/>
          <w:numId w:val="14"/>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Presentations, handouts, or training materials; </w:t>
      </w:r>
    </w:p>
    <w:p w14:paraId="695E3D3D" w14:textId="77777777" w:rsidR="00ED5F79" w:rsidRPr="00ED5F79" w:rsidRDefault="00ED5F79" w:rsidP="00ED5F79">
      <w:pPr>
        <w:numPr>
          <w:ilvl w:val="0"/>
          <w:numId w:val="14"/>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Event photographs and visibility documentation; </w:t>
      </w:r>
    </w:p>
    <w:p w14:paraId="5F602E31" w14:textId="77777777" w:rsidR="00ED5F79" w:rsidRPr="00ED5F79" w:rsidRDefault="00ED5F79" w:rsidP="00ED5F79">
      <w:pPr>
        <w:numPr>
          <w:ilvl w:val="0"/>
          <w:numId w:val="14"/>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Meeting summaries or reports, where relevant. </w:t>
      </w:r>
    </w:p>
    <w:p w14:paraId="07D8F043" w14:textId="77777777" w:rsidR="00ED5F79" w:rsidRPr="00ED5F79" w:rsidRDefault="00ED5F79" w:rsidP="00ED5F79">
      <w:pPr>
        <w:spacing w:before="120" w:after="120"/>
        <w:jc w:val="both"/>
        <w:rPr>
          <w:rFonts w:ascii="Times New Roman" w:eastAsia="MS Mincho" w:hAnsi="Times New Roman" w:cs="Times New Roman"/>
          <w:sz w:val="24"/>
          <w:szCs w:val="24"/>
          <w:u w:val="single"/>
          <w:lang w:val="en-US" w:eastAsia="en-US"/>
        </w:rPr>
      </w:pPr>
      <w:r w:rsidRPr="00ED5F79">
        <w:rPr>
          <w:rFonts w:ascii="Times New Roman" w:eastAsia="MS Mincho" w:hAnsi="Times New Roman" w:cs="Times New Roman"/>
          <w:sz w:val="24"/>
          <w:szCs w:val="24"/>
          <w:u w:val="single"/>
          <w:lang w:val="en-US" w:eastAsia="en-US"/>
        </w:rPr>
        <w:t>Good Practice Considerations for Events</w:t>
      </w:r>
    </w:p>
    <w:p w14:paraId="2885E161"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are encouraged to ensure that events are inclusive, accessible, environmentally responsible, and operationally well prepared. Particular attention should be given to:</w:t>
      </w:r>
    </w:p>
    <w:p w14:paraId="33241211" w14:textId="562388FE" w:rsidR="00ED5F79" w:rsidRPr="00ED5F79" w:rsidRDefault="00ED5F79" w:rsidP="00ED5F79">
      <w:pPr>
        <w:numPr>
          <w:ilvl w:val="0"/>
          <w:numId w:val="15"/>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accessibility requirements for people with disabilities; </w:t>
      </w:r>
    </w:p>
    <w:p w14:paraId="09D5E920" w14:textId="77777777" w:rsidR="00ED5F79" w:rsidRPr="00ED5F79" w:rsidRDefault="00ED5F79" w:rsidP="00ED5F79">
      <w:pPr>
        <w:numPr>
          <w:ilvl w:val="0"/>
          <w:numId w:val="15"/>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dietary requirements and participant wellbeing; </w:t>
      </w:r>
    </w:p>
    <w:p w14:paraId="6E5D2705" w14:textId="77777777" w:rsidR="00ED5F79" w:rsidRPr="00ED5F79" w:rsidRDefault="00ED5F79" w:rsidP="00ED5F79">
      <w:pPr>
        <w:numPr>
          <w:ilvl w:val="0"/>
          <w:numId w:val="15"/>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environmental sustainability measures; </w:t>
      </w:r>
    </w:p>
    <w:p w14:paraId="06AEE614" w14:textId="77777777" w:rsidR="00ED5F79" w:rsidRPr="00ED5F79" w:rsidRDefault="00ED5F79" w:rsidP="00ED5F79">
      <w:pPr>
        <w:numPr>
          <w:ilvl w:val="0"/>
          <w:numId w:val="15"/>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appropriate technical and logistical preparation; </w:t>
      </w:r>
    </w:p>
    <w:p w14:paraId="7EBD3918" w14:textId="77777777" w:rsidR="00ED5F79" w:rsidRPr="00ED5F79" w:rsidRDefault="00ED5F79" w:rsidP="00ED5F79">
      <w:pPr>
        <w:numPr>
          <w:ilvl w:val="0"/>
          <w:numId w:val="15"/>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appropriate participant information and consent procedures regarding photography and audiovisual documentation. </w:t>
      </w:r>
    </w:p>
    <w:p w14:paraId="3C4457E3"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 Participant List Template may be obtained from the Civic space project. </w:t>
      </w:r>
    </w:p>
    <w:p w14:paraId="24EC7735"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4F81BD"/>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5.7. Digital Tools and Online Communication</w:t>
      </w:r>
    </w:p>
    <w:p w14:paraId="1EA5FAA2"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websites, online platforms, digital advocacy tools, online engagement tools, digital campaign products, and other simple digital solutions supporting civic initiatives.</w:t>
      </w:r>
    </w:p>
    <w:p w14:paraId="608CCC2D"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1481C473" w14:textId="77777777" w:rsidR="00ED5F79" w:rsidRPr="00ED5F79" w:rsidRDefault="00ED5F79" w:rsidP="00ED5F79">
      <w:pPr>
        <w:numPr>
          <w:ilvl w:val="0"/>
          <w:numId w:val="16"/>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Website or platform links; </w:t>
      </w:r>
    </w:p>
    <w:p w14:paraId="515A2B0B" w14:textId="77777777" w:rsidR="00ED5F79" w:rsidRPr="00ED5F79" w:rsidRDefault="00ED5F79" w:rsidP="00ED5F79">
      <w:pPr>
        <w:numPr>
          <w:ilvl w:val="0"/>
          <w:numId w:val="16"/>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Screenshots or demonstration materials; </w:t>
      </w:r>
    </w:p>
    <w:p w14:paraId="0B3238D7" w14:textId="77777777" w:rsidR="00ED5F79" w:rsidRPr="00ED5F79" w:rsidRDefault="00ED5F79" w:rsidP="00ED5F79">
      <w:pPr>
        <w:numPr>
          <w:ilvl w:val="0"/>
          <w:numId w:val="16"/>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User access records or launch evidence, where relevant; </w:t>
      </w:r>
    </w:p>
    <w:p w14:paraId="20BB3C8A" w14:textId="77777777" w:rsidR="00ED5F79" w:rsidRPr="00ED5F79" w:rsidRDefault="00ED5F79" w:rsidP="00ED5F79">
      <w:pPr>
        <w:numPr>
          <w:ilvl w:val="0"/>
          <w:numId w:val="16"/>
        </w:numPr>
        <w:spacing w:before="120" w:after="12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Digital communication outputs and analytics, where applicable.</w:t>
      </w:r>
    </w:p>
    <w:p w14:paraId="4A0E48F5"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lastRenderedPageBreak/>
        <w:t>5.8. Event Logistics and Operational Support</w:t>
      </w:r>
    </w:p>
    <w:p w14:paraId="2111BC24"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This category includes venue rental, catering, transportation, technical equipment rental, interpretation equipment, audiovisual support, and related operational services.</w:t>
      </w:r>
    </w:p>
    <w:p w14:paraId="406B8273"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777859A7"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Invoices and quotations; </w:t>
      </w:r>
    </w:p>
    <w:p w14:paraId="5F1460BD"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Event photographs; </w:t>
      </w:r>
    </w:p>
    <w:p w14:paraId="2BD02347"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Signed participant lists; </w:t>
      </w:r>
    </w:p>
    <w:p w14:paraId="6AE634DB"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Delivery confirmations or service acceptance confirmations.</w:t>
      </w:r>
    </w:p>
    <w:p w14:paraId="1C869C23"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4F81BD"/>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5.9. Participation Fees and Membership Costs</w:t>
      </w:r>
    </w:p>
    <w:p w14:paraId="7320B7D0"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Participation fees for conferences, events, trainings, or professional networks may only be supported where explicitly included in the approved budget and directly linked to the objectives of the action.</w:t>
      </w:r>
    </w:p>
    <w:p w14:paraId="4938A33E"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Prior to committing to any expenditure, beneficiaries must inform the Civic Space Team regarding the registration process, participation requirements, payment arrangements, and expected outputs or benefits related to the participation or membership.</w:t>
      </w:r>
    </w:p>
    <w:p w14:paraId="1CDB64F5"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Membership fees may only cover periods falling within the approved implementation period of the supported action.</w:t>
      </w:r>
    </w:p>
    <w:p w14:paraId="27BCBFE8"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0F1AE3E7"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Invoice or proof of payment; </w:t>
      </w:r>
    </w:p>
    <w:p w14:paraId="15A5C660"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Registration confirmation or membership confirmation; </w:t>
      </w:r>
    </w:p>
    <w:p w14:paraId="13B7FFDC"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Certificate of participation, attendance confirmation, or official acceptance communication. </w:t>
      </w:r>
    </w:p>
    <w:p w14:paraId="14DF4A21"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5.10. Travel and Transportation Costs</w:t>
      </w:r>
    </w:p>
    <w:p w14:paraId="552B9819"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Travel and transportation costs may be supported where included in the approved budget and directly linked to implementation activities.</w:t>
      </w:r>
    </w:p>
    <w:p w14:paraId="0476D532"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5DDD9808"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Flight invoices, tickets, and boarding passes; </w:t>
      </w:r>
    </w:p>
    <w:p w14:paraId="191E65F1"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Transport invoices and receipts; </w:t>
      </w:r>
    </w:p>
    <w:p w14:paraId="3E398BC5"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Vehicle logbooks and travel records; </w:t>
      </w:r>
    </w:p>
    <w:p w14:paraId="40B3C767"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Fuel receipts, where applicable; </w:t>
      </w:r>
    </w:p>
    <w:p w14:paraId="4BF59528" w14:textId="64264B5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Travel orders or mission authorizations, where relevant; </w:t>
      </w:r>
    </w:p>
    <w:p w14:paraId="2767F819" w14:textId="77777777" w:rsidR="00ED5F79" w:rsidRPr="00ED5F79" w:rsidRDefault="00ED5F79" w:rsidP="00ED5F79">
      <w:pPr>
        <w:numPr>
          <w:ilvl w:val="0"/>
          <w:numId w:val="17"/>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Distance calculations and route summaries. </w:t>
      </w:r>
    </w:p>
    <w:p w14:paraId="5AA5A561"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Travel by private vehicle may be reimbursed based on the applicable fixed reimbursement rate established under the Grow Civic Facility.</w:t>
      </w:r>
    </w:p>
    <w:p w14:paraId="1FC67353"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5.11. Visa Costs</w:t>
      </w:r>
    </w:p>
    <w:p w14:paraId="1B42FF03" w14:textId="27E67E3E"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Visa-related costs may be reimbursed where directly linked to approved implementation activities and supported by appropriate documentation. Beneficiaries are encouraged to apply sufficiently in advance to avoid delays or cancellations.</w:t>
      </w:r>
    </w:p>
    <w:p w14:paraId="743DD0FB"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Only successful visa applications may be considered eligible for reimbursement.</w:t>
      </w:r>
    </w:p>
    <w:p w14:paraId="0287248C"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lastRenderedPageBreak/>
        <w:t>Indicative Supporting Documents</w:t>
      </w:r>
    </w:p>
    <w:p w14:paraId="1591CFFA"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Visa invoices and payment receipts; </w:t>
      </w:r>
    </w:p>
    <w:p w14:paraId="15E45762"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Visa approval documentation; </w:t>
      </w:r>
    </w:p>
    <w:p w14:paraId="73F8FF80"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Event invitation or travel justification; </w:t>
      </w:r>
    </w:p>
    <w:p w14:paraId="326EB47B"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Supporting travel documentation.</w:t>
      </w:r>
    </w:p>
    <w:p w14:paraId="5C0EAA93"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4F81BD"/>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5.12. Expert Support and Deliverables</w:t>
      </w:r>
    </w:p>
    <w:p w14:paraId="39B2A5B7" w14:textId="3A54DC4A"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Once contractual arrangements with experts have been finalized by the Civic Space Team, experts may commence work on the approved action. Beneficiaries remain responsible for the day-to-day supervision, coordination, and technical follow-up of expert assignments, including quality assurance of deliverables and monitoring of timelines.</w:t>
      </w:r>
    </w:p>
    <w:p w14:paraId="158C2EEE"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Any proposed modification to expert assignments, duration, timing, deliverables, or level of effort must be immediately communicated to the Civic Space Team and approved in advance.</w:t>
      </w:r>
    </w:p>
    <w:p w14:paraId="3DF124F2" w14:textId="77777777" w:rsidR="00ED5F79" w:rsidRPr="00ED5F79" w:rsidRDefault="00ED5F79" w:rsidP="00ED5F79">
      <w:pPr>
        <w:spacing w:before="120" w:after="12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Indicative Supporting Documents</w:t>
      </w:r>
    </w:p>
    <w:p w14:paraId="67233280"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Terms of Reference; where relevant;</w:t>
      </w:r>
    </w:p>
    <w:p w14:paraId="4C55497E"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Expert timesheets; </w:t>
      </w:r>
    </w:p>
    <w:p w14:paraId="7EF13D50"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Technical deliverables and outputs; </w:t>
      </w:r>
    </w:p>
    <w:p w14:paraId="07CA1E67"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Reports, presentations, analyses, or materials produced by the expert; </w:t>
      </w:r>
    </w:p>
    <w:p w14:paraId="6FFCFE1A" w14:textId="77777777" w:rsidR="00ED5F79" w:rsidRPr="00ED5F79" w:rsidRDefault="00ED5F79" w:rsidP="00ED5F79">
      <w:pPr>
        <w:numPr>
          <w:ilvl w:val="0"/>
          <w:numId w:val="6"/>
        </w:numPr>
        <w:spacing w:before="120" w:after="12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Acceptance confirmation by the beneficiary, where applicable.</w:t>
      </w:r>
    </w:p>
    <w:p w14:paraId="57AD1D7C" w14:textId="77777777" w:rsidR="00ED5F79" w:rsidRPr="00ED5F79" w:rsidRDefault="00ED5F79" w:rsidP="00ED5F79">
      <w:pPr>
        <w:keepNext/>
        <w:keepLines/>
        <w:spacing w:before="48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7. Final reporting and Closure</w:t>
      </w:r>
    </w:p>
    <w:p w14:paraId="27510992"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Upon completion of the supported action, beneficiaries are required to submit a Final Report to the Civic Space Team in order to formally conclude the implementation process and ensure administrative and operational closure of the action.</w:t>
      </w:r>
    </w:p>
    <w:p w14:paraId="6AE8F29D"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Final Report should provide a concise but comprehensive overview of the implementation of the action, including:</w:t>
      </w:r>
    </w:p>
    <w:p w14:paraId="05B0634E" w14:textId="77777777" w:rsidR="00ED5F79" w:rsidRPr="00ED5F79" w:rsidRDefault="00ED5F79" w:rsidP="00ED5F79">
      <w:pPr>
        <w:numPr>
          <w:ilvl w:val="0"/>
          <w:numId w:val="18"/>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activities implemented;</w:t>
      </w:r>
    </w:p>
    <w:p w14:paraId="5ADE5AF6" w14:textId="77777777" w:rsidR="00ED5F79" w:rsidRPr="00ED5F79" w:rsidRDefault="00ED5F79" w:rsidP="00ED5F79">
      <w:pPr>
        <w:numPr>
          <w:ilvl w:val="0"/>
          <w:numId w:val="18"/>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outputs and results achieved;</w:t>
      </w:r>
    </w:p>
    <w:p w14:paraId="1F546EFA" w14:textId="77777777" w:rsidR="00ED5F79" w:rsidRPr="00ED5F79" w:rsidRDefault="00ED5F79" w:rsidP="00ED5F79">
      <w:pPr>
        <w:numPr>
          <w:ilvl w:val="0"/>
          <w:numId w:val="18"/>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visibility and communication activities conducted;</w:t>
      </w:r>
    </w:p>
    <w:p w14:paraId="05323DF9" w14:textId="77777777" w:rsidR="00ED5F79" w:rsidRPr="00ED5F79" w:rsidRDefault="00ED5F79" w:rsidP="00ED5F79">
      <w:pPr>
        <w:numPr>
          <w:ilvl w:val="0"/>
          <w:numId w:val="18"/>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challenges encountered and mitigation measures taken;</w:t>
      </w:r>
    </w:p>
    <w:p w14:paraId="73802211" w14:textId="77777777" w:rsidR="00ED5F79" w:rsidRPr="00ED5F79" w:rsidRDefault="00ED5F79" w:rsidP="00ED5F79">
      <w:pPr>
        <w:numPr>
          <w:ilvl w:val="0"/>
          <w:numId w:val="18"/>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use of expert and service provider support; and</w:t>
      </w:r>
    </w:p>
    <w:p w14:paraId="15A7D140" w14:textId="77777777" w:rsidR="00ED5F79" w:rsidRPr="00ED5F79" w:rsidRDefault="00ED5F79" w:rsidP="00ED5F79">
      <w:pPr>
        <w:numPr>
          <w:ilvl w:val="0"/>
          <w:numId w:val="18"/>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any relevant supporting documentation, evidence, or lessons learned arising from the implementation process.</w:t>
      </w:r>
    </w:p>
    <w:p w14:paraId="62134D74"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are required to use the official Final Report Template provided in Annexes of the Guidelines. The Civic Space Team may also request additional clarifications, supporting documents, or verification materials where necessary.</w:t>
      </w:r>
    </w:p>
    <w:p w14:paraId="198F46BE"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Final Report, together with all relevant supporting documentation, must be submitted electronically to the Civic Space Team no later than thirty (30) calendar days following the completion of the action and all related implementation activities.</w:t>
      </w:r>
    </w:p>
    <w:p w14:paraId="28999435"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Please note that the action may only be considered formally closed once:</w:t>
      </w:r>
    </w:p>
    <w:p w14:paraId="26D77D09" w14:textId="77777777" w:rsidR="00ED5F79" w:rsidRPr="00ED5F79" w:rsidRDefault="00ED5F79" w:rsidP="00ED5F79">
      <w:pPr>
        <w:numPr>
          <w:ilvl w:val="0"/>
          <w:numId w:val="19"/>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lastRenderedPageBreak/>
        <w:t>all approved activities have been completed;</w:t>
      </w:r>
    </w:p>
    <w:p w14:paraId="33E49C8F" w14:textId="77777777" w:rsidR="00ED5F79" w:rsidRPr="00ED5F79" w:rsidRDefault="00ED5F79" w:rsidP="00ED5F79">
      <w:pPr>
        <w:numPr>
          <w:ilvl w:val="0"/>
          <w:numId w:val="19"/>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required supporting documents have been submitted and accepted;</w:t>
      </w:r>
    </w:p>
    <w:p w14:paraId="6456EF11" w14:textId="77777777" w:rsidR="00ED5F79" w:rsidRPr="00ED5F79" w:rsidRDefault="00ED5F79" w:rsidP="00ED5F79">
      <w:pPr>
        <w:numPr>
          <w:ilvl w:val="0"/>
          <w:numId w:val="19"/>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deliverables and outputs have been verified; and</w:t>
      </w:r>
    </w:p>
    <w:p w14:paraId="761E4633" w14:textId="154E507D" w:rsidR="00ED5F79" w:rsidRPr="00ED5F79" w:rsidRDefault="00ED5F79" w:rsidP="00ED5F79">
      <w:pPr>
        <w:numPr>
          <w:ilvl w:val="0"/>
          <w:numId w:val="19"/>
        </w:numPr>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has confirmed the administrative and operational closure of the action.</w:t>
      </w:r>
    </w:p>
    <w:p w14:paraId="0278095E" w14:textId="77777777" w:rsidR="00ED5F79" w:rsidRPr="00ED5F79" w:rsidRDefault="00ED5F79" w:rsidP="00ED5F79">
      <w:pPr>
        <w:keepNext/>
        <w:keepLines/>
        <w:spacing w:before="48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8. Invoicing, Verification and Payment Procedures</w:t>
      </w:r>
    </w:p>
    <w:p w14:paraId="520C11EC" w14:textId="77777777" w:rsidR="00ED5F79" w:rsidRPr="00ED5F79" w:rsidRDefault="00ED5F79" w:rsidP="00ED5F79">
      <w:pPr>
        <w:spacing w:after="200" w:line="276" w:lineRule="auto"/>
        <w:jc w:val="both"/>
        <w:rPr>
          <w:rFonts w:ascii="Times New Roman" w:eastAsia="MS Mincho" w:hAnsi="Times New Roman" w:cs="Times New Roman"/>
          <w:sz w:val="24"/>
          <w:szCs w:val="24"/>
          <w:lang w:val="tr-TR" w:eastAsia="en-US"/>
        </w:rPr>
      </w:pPr>
      <w:r w:rsidRPr="00ED5F79">
        <w:rPr>
          <w:rFonts w:ascii="Times New Roman" w:eastAsia="MS Mincho" w:hAnsi="Times New Roman" w:cs="Times New Roman"/>
          <w:sz w:val="24"/>
          <w:szCs w:val="24"/>
          <w:lang w:val="tr-TR" w:eastAsia="en-US"/>
        </w:rPr>
        <w:t>Beneficiaries may proceed to the invoicing and payment stage once the approved services, expert assignments, goods, or implementation-related deliverables have been completed and received in full. Prior to initiating the payment process, beneficiaries are responsible for verifying that the services or deliverables have been provided in accordance with the agreed scope of work, required quality standards, implementation timelines, and approved action plan.</w:t>
      </w:r>
    </w:p>
    <w:p w14:paraId="34185C1C" w14:textId="77777777" w:rsidR="00ED5F79" w:rsidRPr="00ED5F79" w:rsidRDefault="00ED5F79" w:rsidP="00ED5F79">
      <w:p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beneficiary must formally inform the Civic Space Team that the relevant services, expertise, goods, or deliverables have been satisfactorily completed and accepted.</w:t>
      </w:r>
    </w:p>
    <w:p w14:paraId="259272B1" w14:textId="77777777" w:rsidR="00ED5F79" w:rsidRPr="00ED5F79" w:rsidRDefault="00ED5F79" w:rsidP="00ED5F79">
      <w:p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All original invoices, supporting documentation, deliverables, and verification materials related to the relevant expenditure must then be submitted to the Civic Space Team for administrative, financial, and procedural verification. Supporting documents must be provided in accordance with the requirements outlined in the Supporting Documents section of these Guidelines.</w:t>
      </w:r>
    </w:p>
    <w:p w14:paraId="7E46C5F1" w14:textId="77777777" w:rsidR="00ED5F79" w:rsidRPr="00ED5F79" w:rsidRDefault="00ED5F79" w:rsidP="00ED5F79">
      <w:p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Upon receipt of the documentation, the Civic Space Team will review and verify the submitted materials in order to ensure compliance with:</w:t>
      </w:r>
    </w:p>
    <w:p w14:paraId="7C249FFD" w14:textId="5CF60B10" w:rsidR="00ED5F79" w:rsidRPr="00ED5F79" w:rsidRDefault="00ED5F79" w:rsidP="00ED5F79">
      <w:pPr>
        <w:numPr>
          <w:ilvl w:val="0"/>
          <w:numId w:val="20"/>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approved action and budget; </w:t>
      </w:r>
    </w:p>
    <w:p w14:paraId="241AAD6A" w14:textId="77777777" w:rsidR="00ED5F79" w:rsidRPr="00ED5F79" w:rsidRDefault="00ED5F79" w:rsidP="00ED5F79">
      <w:pPr>
        <w:numPr>
          <w:ilvl w:val="0"/>
          <w:numId w:val="20"/>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the Grow Civic implementation procedures; </w:t>
      </w:r>
    </w:p>
    <w:p w14:paraId="2E7B82C4" w14:textId="77777777" w:rsidR="00ED5F79" w:rsidRPr="00ED5F79" w:rsidRDefault="00ED5F79" w:rsidP="00ED5F79">
      <w:pPr>
        <w:numPr>
          <w:ilvl w:val="0"/>
          <w:numId w:val="20"/>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applicable procurement and financial rules; and </w:t>
      </w:r>
    </w:p>
    <w:p w14:paraId="53546913" w14:textId="77777777" w:rsidR="00ED5F79" w:rsidRPr="00ED5F79" w:rsidRDefault="00ED5F79" w:rsidP="00ED5F79">
      <w:pPr>
        <w:numPr>
          <w:ilvl w:val="0"/>
          <w:numId w:val="20"/>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European Union visibility and compliance requirements. </w:t>
      </w:r>
    </w:p>
    <w:p w14:paraId="684FEFDE" w14:textId="77777777" w:rsidR="00ED5F79" w:rsidRPr="00ED5F79" w:rsidRDefault="00ED5F79" w:rsidP="00ED5F79">
      <w:p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reserves the right to request additional clarifications, revised documentation, missing supporting evidence, or corrective actions prior to processing any payment.</w:t>
      </w:r>
    </w:p>
    <w:p w14:paraId="5DB1FC0D"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Payment Arrangements</w:t>
      </w:r>
    </w:p>
    <w:p w14:paraId="101F67DA" w14:textId="77777777" w:rsidR="00ED5F79" w:rsidRPr="00ED5F79" w:rsidRDefault="00ED5F79" w:rsidP="00ED5F79">
      <w:p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Where all required documentation has been properly submitted and verified, payments shall normally be processed under the following conditions:</w:t>
      </w:r>
    </w:p>
    <w:p w14:paraId="1FDFC39B" w14:textId="77777777" w:rsidR="00ED5F79" w:rsidRPr="00ED5F79" w:rsidRDefault="00ED5F79" w:rsidP="00ED5F79">
      <w:pPr>
        <w:numPr>
          <w:ilvl w:val="0"/>
          <w:numId w:val="21"/>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Payments are generally made within thirty (30) calendar days following receipt and acceptance of a correct invoice and all required supporting documentation; </w:t>
      </w:r>
    </w:p>
    <w:p w14:paraId="665FC7A1" w14:textId="77777777" w:rsidR="00ED5F79" w:rsidRPr="00ED5F79" w:rsidRDefault="00ED5F79" w:rsidP="00ED5F79">
      <w:pPr>
        <w:numPr>
          <w:ilvl w:val="0"/>
          <w:numId w:val="21"/>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Payments are normally made via bank transfer directly to the contracted expert, supplier, or service provider; </w:t>
      </w:r>
    </w:p>
    <w:p w14:paraId="037A5FC8" w14:textId="77777777" w:rsidR="00ED5F79" w:rsidRPr="00ED5F79" w:rsidRDefault="00ED5F79" w:rsidP="00ED5F79">
      <w:pPr>
        <w:numPr>
          <w:ilvl w:val="0"/>
          <w:numId w:val="21"/>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Exceptionally, limited reimbursements to beneficiaries may be considered for approved operational expenditures below EUR 500, subject to prior approval and submission of </w:t>
      </w:r>
      <w:r w:rsidRPr="00ED5F79">
        <w:rPr>
          <w:rFonts w:ascii="Times New Roman" w:eastAsia="MS Mincho" w:hAnsi="Times New Roman" w:cs="Times New Roman"/>
          <w:sz w:val="24"/>
          <w:szCs w:val="24"/>
          <w:lang w:val="en-US" w:eastAsia="en-US"/>
        </w:rPr>
        <w:lastRenderedPageBreak/>
        <w:t xml:space="preserve">appropriate supporting documentation, such as signed receipts, proof of payment, credit card slips, or other acceptable evidence of expenditure; </w:t>
      </w:r>
    </w:p>
    <w:p w14:paraId="08B92B8A" w14:textId="77777777" w:rsidR="00ED5F79" w:rsidRPr="00ED5F79" w:rsidRDefault="00ED5F79" w:rsidP="00ED5F79">
      <w:pPr>
        <w:numPr>
          <w:ilvl w:val="0"/>
          <w:numId w:val="21"/>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Any request for reimbursement must be clearly indicated and justified at the time of submission of the invoice and supporting documentation; </w:t>
      </w:r>
    </w:p>
    <w:p w14:paraId="42C8033B" w14:textId="77777777" w:rsidR="00ED5F79" w:rsidRPr="00ED5F79" w:rsidRDefault="00ED5F79" w:rsidP="00ED5F79">
      <w:pPr>
        <w:numPr>
          <w:ilvl w:val="0"/>
          <w:numId w:val="21"/>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Requests for cash payments, reimbursements above EUR 500, or alternative payment modalities shall be considered exceptional and may only be approved on a case-by-case basis by the Civic Space Team, subject to operational justification and compliance with applicable procedures. </w:t>
      </w:r>
    </w:p>
    <w:p w14:paraId="0E30CDD2" w14:textId="77777777" w:rsidR="00ED5F79" w:rsidRPr="00ED5F79" w:rsidRDefault="00ED5F79" w:rsidP="00ED5F79">
      <w:p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Please note that no payment may be processed in cases where supporting documentation is incomplete, insufficient, inconsistent with the approved action, or not compliant with the applicable procedures and requirements of the Grow Civic Facility.</w:t>
      </w:r>
    </w:p>
    <w:p w14:paraId="0154AD89" w14:textId="77777777" w:rsidR="00ED5F79" w:rsidRPr="00ED5F79" w:rsidRDefault="00ED5F79" w:rsidP="00ED5F79">
      <w:pPr>
        <w:keepNext/>
        <w:keepLines/>
        <w:spacing w:before="480"/>
        <w:outlineLvl w:val="0"/>
        <w:rPr>
          <w:rFonts w:ascii="Times New Roman" w:eastAsia="MS Gothic" w:hAnsi="Times New Roman" w:cs="Times New Roman"/>
          <w:b/>
          <w:bCs/>
          <w:color w:val="365F9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9. Grow Civic Help Desk and Beneficiary Support</w:t>
      </w:r>
    </w:p>
    <w:p w14:paraId="289215BF" w14:textId="77777777"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operates the Grow Civic Help Desk as a continuous support and coordination mechanism for applicants, beneficiaries, experts, and service providers throughout the implementation of the Grow Civic Facility.</w:t>
      </w:r>
    </w:p>
    <w:p w14:paraId="075903FA" w14:textId="77777777"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Help Desk serves as the main operational support structure for the Grow Civic Facility and provides practical guidance, coordination support, procedural clarification, and implementation assistance during all phases of the action cycle, including:</w:t>
      </w:r>
    </w:p>
    <w:p w14:paraId="7CFA46A6"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application and assessment stages;</w:t>
      </w:r>
    </w:p>
    <w:p w14:paraId="28755909"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contracting and onboarding;</w:t>
      </w:r>
    </w:p>
    <w:p w14:paraId="38E580C4"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implementation planning and coordination;</w:t>
      </w:r>
    </w:p>
    <w:p w14:paraId="5789B884"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procurement and service provider engagement;</w:t>
      </w:r>
    </w:p>
    <w:p w14:paraId="59788D92"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visibility and communication compliance;</w:t>
      </w:r>
    </w:p>
    <w:p w14:paraId="00DC1048"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supporting documentation and reporting requirements;</w:t>
      </w:r>
    </w:p>
    <w:p w14:paraId="15693F66"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financial and operational procedures; and</w:t>
      </w:r>
    </w:p>
    <w:p w14:paraId="01B1EA1A" w14:textId="77777777" w:rsidR="00ED5F79" w:rsidRPr="00ED5F79" w:rsidRDefault="00ED5F79" w:rsidP="00ED5F79">
      <w:pPr>
        <w:numPr>
          <w:ilvl w:val="0"/>
          <w:numId w:val="22"/>
        </w:numPr>
        <w:spacing w:after="200" w:line="276" w:lineRule="auto"/>
        <w:contextualSpacing/>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closure and final reporting of actions.</w:t>
      </w:r>
    </w:p>
    <w:p w14:paraId="216E8F59" w14:textId="1003288B"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 addition to day-to-day support, the Civic Space Team may organize information sessions, orientation meetings, Q&amp;A sessions, consultations, trainings, or thematic briefings in order to support the effective implementation and visibility of the Grow Civic Facility.</w:t>
      </w:r>
    </w:p>
    <w:p w14:paraId="297E0564" w14:textId="77777777"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are strongly encouraged to remain in regular communication with the Civic Space Team throughout implementation and to contact the Help Desk whenever clarification, guidance, or operational support is required. Early communication is particularly encouraged in cases involving implementation challenges, proposed modifications, procurement questions, visibility issues, reporting requirements, or procedural uncertainties.</w:t>
      </w:r>
    </w:p>
    <w:p w14:paraId="62A19B10" w14:textId="77777777"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Grow Civic Help Desk can be contacted through the following channels:</w:t>
      </w:r>
    </w:p>
    <w:p w14:paraId="6CC6B32D" w14:textId="77777777"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Telephone: +90 539 132 2245</w:t>
      </w:r>
    </w:p>
    <w:p w14:paraId="1DD4BF55" w14:textId="77777777" w:rsidR="00ED5F79" w:rsidRPr="00ED5F79" w:rsidRDefault="00ED5F79" w:rsidP="00ED5F79">
      <w:pPr>
        <w:spacing w:after="200"/>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Email: </w:t>
      </w:r>
    </w:p>
    <w:p w14:paraId="05BCEEA2" w14:textId="77777777" w:rsidR="00ED5F79" w:rsidRPr="00ED5F79" w:rsidRDefault="00ED5F79" w:rsidP="00ED5F79">
      <w:pPr>
        <w:numPr>
          <w:ilvl w:val="0"/>
          <w:numId w:val="23"/>
        </w:numPr>
        <w:spacing w:after="200" w:line="276" w:lineRule="auto"/>
        <w:contextualSpacing/>
        <w:rPr>
          <w:rFonts w:ascii="Times New Roman" w:eastAsia="MS Mincho" w:hAnsi="Times New Roman" w:cs="Times New Roman"/>
          <w:sz w:val="24"/>
          <w:szCs w:val="24"/>
          <w:lang w:val="en-US" w:eastAsia="en-US"/>
        </w:rPr>
      </w:pPr>
      <w:hyperlink r:id="rId10" w:history="1">
        <w:r w:rsidRPr="00ED5F79">
          <w:rPr>
            <w:rFonts w:ascii="Times New Roman" w:eastAsia="MS Mincho" w:hAnsi="Times New Roman" w:cs="Times New Roman"/>
            <w:color w:val="0000FF"/>
            <w:sz w:val="24"/>
            <w:szCs w:val="24"/>
            <w:u w:val="single"/>
            <w:lang w:val="en-US" w:eastAsia="en-US"/>
          </w:rPr>
          <w:t>applications.civicspace@gfa-group.de</w:t>
        </w:r>
      </w:hyperlink>
      <w:r w:rsidRPr="00ED5F79">
        <w:rPr>
          <w:rFonts w:ascii="Times New Roman" w:eastAsia="MS Mincho" w:hAnsi="Times New Roman" w:cs="Times New Roman"/>
          <w:sz w:val="24"/>
          <w:szCs w:val="24"/>
          <w:lang w:val="en-US" w:eastAsia="en-US"/>
        </w:rPr>
        <w:t xml:space="preserve"> (to submit applications); </w:t>
      </w:r>
    </w:p>
    <w:p w14:paraId="3C1B6CA8" w14:textId="77777777" w:rsidR="00ED5F79" w:rsidRDefault="00ED5F79" w:rsidP="00ED5F79">
      <w:pPr>
        <w:numPr>
          <w:ilvl w:val="0"/>
          <w:numId w:val="23"/>
        </w:numPr>
        <w:spacing w:after="200" w:line="276" w:lineRule="auto"/>
        <w:contextualSpacing/>
        <w:rPr>
          <w:rFonts w:ascii="Times New Roman" w:eastAsia="MS Mincho" w:hAnsi="Times New Roman" w:cs="Times New Roman"/>
          <w:sz w:val="24"/>
          <w:szCs w:val="24"/>
          <w:lang w:val="en-US" w:eastAsia="en-US"/>
        </w:rPr>
      </w:pPr>
      <w:hyperlink r:id="rId11" w:history="1">
        <w:r w:rsidRPr="00ED5F79">
          <w:rPr>
            <w:rFonts w:ascii="Times New Roman" w:eastAsia="MS Mincho" w:hAnsi="Times New Roman" w:cs="Times New Roman"/>
            <w:color w:val="0000FF"/>
            <w:sz w:val="24"/>
            <w:szCs w:val="24"/>
            <w:u w:val="single"/>
            <w:lang w:val="en-US" w:eastAsia="en-US"/>
          </w:rPr>
          <w:t>civicspace@gfa-group.de</w:t>
        </w:r>
      </w:hyperlink>
      <w:r w:rsidRPr="00ED5F79">
        <w:rPr>
          <w:rFonts w:ascii="Times New Roman" w:eastAsia="MS Mincho" w:hAnsi="Times New Roman" w:cs="Times New Roman"/>
          <w:sz w:val="24"/>
          <w:szCs w:val="24"/>
          <w:lang w:val="en-US" w:eastAsia="en-US"/>
        </w:rPr>
        <w:t xml:space="preserve"> (general inquiries)</w:t>
      </w:r>
    </w:p>
    <w:p w14:paraId="31274137" w14:textId="77777777" w:rsidR="00ED5F79" w:rsidRPr="00ED5F79" w:rsidRDefault="00ED5F79" w:rsidP="00ED5F79">
      <w:pPr>
        <w:spacing w:after="200" w:line="276" w:lineRule="auto"/>
        <w:ind w:left="720"/>
        <w:contextualSpacing/>
        <w:rPr>
          <w:rFonts w:ascii="Times New Roman" w:eastAsia="MS Mincho" w:hAnsi="Times New Roman" w:cs="Times New Roman"/>
          <w:sz w:val="24"/>
          <w:szCs w:val="24"/>
          <w:lang w:val="en-US" w:eastAsia="en-US"/>
        </w:rPr>
      </w:pPr>
    </w:p>
    <w:p w14:paraId="03243E87" w14:textId="77777777" w:rsidR="00ED5F79" w:rsidRPr="00ED5F79" w:rsidRDefault="00ED5F79" w:rsidP="00ED5F79">
      <w:pPr>
        <w:keepNext/>
        <w:keepLines/>
        <w:spacing w:before="200" w:line="276" w:lineRule="auto"/>
        <w:outlineLvl w:val="1"/>
        <w:rPr>
          <w:rFonts w:ascii="Times New Roman" w:eastAsia="MS Gothic" w:hAnsi="Times New Roman" w:cs="Times New Roman"/>
          <w:b/>
          <w:bCs/>
          <w:color w:val="000000" w:themeColor="text1"/>
          <w:sz w:val="26"/>
          <w:szCs w:val="26"/>
          <w:lang w:val="en-US" w:eastAsia="en-US"/>
        </w:rPr>
      </w:pPr>
      <w:r w:rsidRPr="00ED5F79">
        <w:rPr>
          <w:rFonts w:ascii="Times New Roman" w:eastAsia="MS Gothic" w:hAnsi="Times New Roman" w:cs="Times New Roman"/>
          <w:b/>
          <w:bCs/>
          <w:color w:val="000000" w:themeColor="text1"/>
          <w:sz w:val="26"/>
          <w:szCs w:val="26"/>
          <w:lang w:val="en-US" w:eastAsia="en-US"/>
        </w:rPr>
        <w:t>9.1 Monitoring, Verification and Spot Checks</w:t>
      </w:r>
    </w:p>
    <w:p w14:paraId="207F7E30"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reserves the right to monitor supported actions throughout the entire implementation period in order to ensure compliance with the approved action plan, applicable procedures, visibility requirements, and the objectives of the Grow Civic Facility.</w:t>
      </w:r>
    </w:p>
    <w:p w14:paraId="5618B34E"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Monitoring activities may include, but are not limited to:</w:t>
      </w:r>
    </w:p>
    <w:p w14:paraId="0CA3AD34" w14:textId="77777777" w:rsidR="00ED5F79" w:rsidRPr="00ED5F79" w:rsidRDefault="00ED5F79" w:rsidP="00ED5F79">
      <w:pPr>
        <w:numPr>
          <w:ilvl w:val="0"/>
          <w:numId w:val="24"/>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participation in or observation of activities and events; </w:t>
      </w:r>
    </w:p>
    <w:p w14:paraId="7E384CA6" w14:textId="77777777" w:rsidR="00ED5F79" w:rsidRPr="00ED5F79" w:rsidRDefault="00ED5F79" w:rsidP="00ED5F79">
      <w:pPr>
        <w:numPr>
          <w:ilvl w:val="0"/>
          <w:numId w:val="24"/>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online or remote monitoring of implementation activities; </w:t>
      </w:r>
    </w:p>
    <w:p w14:paraId="50E17550" w14:textId="77777777" w:rsidR="00ED5F79" w:rsidRPr="00ED5F79" w:rsidRDefault="00ED5F79" w:rsidP="00ED5F79">
      <w:pPr>
        <w:numPr>
          <w:ilvl w:val="0"/>
          <w:numId w:val="24"/>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requests for additional supporting documentation or clarification; </w:t>
      </w:r>
    </w:p>
    <w:p w14:paraId="745E6563" w14:textId="77777777" w:rsidR="00ED5F79" w:rsidRPr="00ED5F79" w:rsidRDefault="00ED5F79" w:rsidP="00ED5F79">
      <w:pPr>
        <w:numPr>
          <w:ilvl w:val="0"/>
          <w:numId w:val="24"/>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verification of visibility and communication compliance; </w:t>
      </w:r>
    </w:p>
    <w:p w14:paraId="6464734F" w14:textId="77777777" w:rsidR="00ED5F79" w:rsidRPr="00ED5F79" w:rsidRDefault="00ED5F79" w:rsidP="00ED5F79">
      <w:pPr>
        <w:numPr>
          <w:ilvl w:val="0"/>
          <w:numId w:val="24"/>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review of deliverables, outputs, and implementation progress; and </w:t>
      </w:r>
    </w:p>
    <w:p w14:paraId="7CA890B6" w14:textId="77777777" w:rsidR="00ED5F79" w:rsidRPr="00ED5F79" w:rsidRDefault="00ED5F79" w:rsidP="00ED5F79">
      <w:pPr>
        <w:numPr>
          <w:ilvl w:val="0"/>
          <w:numId w:val="24"/>
        </w:numPr>
        <w:spacing w:after="200" w:line="276" w:lineRule="auto"/>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on-site or remote monitoring visits, spot checks, or verification exercises conducted by the Civic Space Team and/or the Contracting Authority. </w:t>
      </w:r>
    </w:p>
    <w:p w14:paraId="69C48F59"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are expected to cooperate fully with all monitoring and verification activities and to provide any information, clarification, documentation, or access reasonably requested for monitoring purposes.</w:t>
      </w:r>
    </w:p>
    <w:p w14:paraId="34BC45A4"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Where implementation concerns, procedural irregularities, non-compliance, reputational risks, or operational issues are identified, the Civic Space Team reserves the right to request corrective measures, suspend specific activities, withhold payments, or take other appropriate measures in accordance with the applicable procedures of the Grow Civic Facility.</w:t>
      </w:r>
    </w:p>
    <w:p w14:paraId="35C8652B" w14:textId="77777777" w:rsidR="00ED5F79" w:rsidRPr="00ED5F79" w:rsidRDefault="00ED5F79" w:rsidP="00ED5F79">
      <w:pPr>
        <w:keepNext/>
        <w:keepLines/>
        <w:spacing w:before="480"/>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10. Ethics, Conduct and Compliance with EU Values</w:t>
      </w:r>
    </w:p>
    <w:p w14:paraId="63DDEC20"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Actions supported under the Grow Civic Facility must be implemented in a manner consistent with the principles and values of the European Union, including respect for human rights, democratic participation, inclusion, equality, non-discrimination, transparency, accountability, and peaceful civic engagement.</w:t>
      </w:r>
    </w:p>
    <w:p w14:paraId="53B868BB"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experts, and service providers are expected to conduct all activities in a professional, ethical, respectful, and responsible manner throughout the implementation of the supported action.</w:t>
      </w:r>
    </w:p>
    <w:p w14:paraId="6496B75B"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following principles must be respected during implementation:</w:t>
      </w:r>
    </w:p>
    <w:p w14:paraId="05050DB5" w14:textId="77777777" w:rsidR="00ED5F79" w:rsidRPr="00ED5F79" w:rsidRDefault="00ED5F79" w:rsidP="00ED5F79">
      <w:pPr>
        <w:numPr>
          <w:ilvl w:val="0"/>
          <w:numId w:val="25"/>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respect for diversity, inclusion, and equal treatment; </w:t>
      </w:r>
    </w:p>
    <w:p w14:paraId="2DEB7E98" w14:textId="77777777" w:rsidR="00ED5F79" w:rsidRPr="00ED5F79" w:rsidRDefault="00ED5F79" w:rsidP="00ED5F79">
      <w:pPr>
        <w:numPr>
          <w:ilvl w:val="0"/>
          <w:numId w:val="25"/>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avoidance of discrimination, hate speech, harassment, or incitement to violence; </w:t>
      </w:r>
    </w:p>
    <w:p w14:paraId="3E645CA5" w14:textId="77777777" w:rsidR="00ED5F79" w:rsidRPr="00ED5F79" w:rsidRDefault="00ED5F79" w:rsidP="00ED5F79">
      <w:pPr>
        <w:numPr>
          <w:ilvl w:val="0"/>
          <w:numId w:val="25"/>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respect for the dignity, safety, and participation of all individuals involved in the action; </w:t>
      </w:r>
    </w:p>
    <w:p w14:paraId="2B42EE19" w14:textId="77777777" w:rsidR="00ED5F79" w:rsidRPr="00ED5F79" w:rsidRDefault="00ED5F79" w:rsidP="00ED5F79">
      <w:pPr>
        <w:numPr>
          <w:ilvl w:val="0"/>
          <w:numId w:val="25"/>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compliance with applicable legal, ethical, and safeguarding standards; and </w:t>
      </w:r>
    </w:p>
    <w:p w14:paraId="41B50BD9" w14:textId="77777777" w:rsidR="00ED5F79" w:rsidRPr="00ED5F79" w:rsidRDefault="00ED5F79" w:rsidP="00ED5F79">
      <w:pPr>
        <w:numPr>
          <w:ilvl w:val="0"/>
          <w:numId w:val="25"/>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lastRenderedPageBreak/>
        <w:t xml:space="preserve">avoidance of conflicts of interest, misuse of support, or reputational risks affecting the Grow Civic Facility, Civic Space Project, or the European Union. </w:t>
      </w:r>
    </w:p>
    <w:p w14:paraId="59946AB5"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reserves the right to request corrective measures, suspend support, or terminate support where activities, communication materials, partnerships, or conduct are considered inconsistent with the principles, objectives, or reputational standards of the Grow Civic Facility or the European Union.</w:t>
      </w:r>
    </w:p>
    <w:p w14:paraId="2DCE8AA8"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are responsible for ensuring that personal data collected during the implementation of supported actions is processed, stored, and used in accordance with applicable data protection and privacy requirements.</w:t>
      </w:r>
    </w:p>
    <w:p w14:paraId="67AA0DE5" w14:textId="77777777" w:rsidR="00ED5F79" w:rsidRPr="00ED5F79" w:rsidRDefault="00ED5F79" w:rsidP="00ED5F79">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11. Use, Visibility and Dissemination of Outputs</w:t>
      </w:r>
    </w:p>
    <w:p w14:paraId="01E3F33F"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By accepting support under the Grow Civic Facility, beneficiaries acknowledge that studies, reports, publications, communication materials, visual products, training materials, audiovisual outputs, research findings, and other deliverables produced with Grow Civic support may be used, reproduced, translated, adapted, published, or disseminated by the Civic Space Project and/or the European Union for non-commercial communication, reporting, visibility, institutional learning, or knowledge-sharing purposes.</w:t>
      </w:r>
    </w:p>
    <w:p w14:paraId="20F75E54" w14:textId="21DE52B1"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Where appropriate, due acknowledgement shall be provided to the beneficiary, author, expert, or implementing organization responsible for the development of the relevant output.</w:t>
      </w:r>
    </w:p>
    <w:p w14:paraId="4CEA76F6"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Beneficiaries remain responsible for ensuring that all materials produced under the supported action respect copyright, intellectual property rights, data protection requirements, ethical standards, and applicable legal obligations.</w:t>
      </w:r>
    </w:p>
    <w:p w14:paraId="59E29FEB"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may request that key deliverables, visibility materials, or communication outputs be produced in English, Turkish, Greek, or bilingually, depending on the nature of the supported action</w:t>
      </w:r>
    </w:p>
    <w:p w14:paraId="661DF16E" w14:textId="77777777" w:rsidR="00ED5F79" w:rsidRPr="00ED5F79" w:rsidRDefault="00ED5F79" w:rsidP="00ED5F79">
      <w:pPr>
        <w:keepNext/>
        <w:keepLines/>
        <w:spacing w:before="480" w:line="276" w:lineRule="auto"/>
        <w:outlineLvl w:val="0"/>
        <w:rPr>
          <w:rFonts w:ascii="Times New Roman" w:eastAsia="MS Gothic" w:hAnsi="Times New Roman" w:cs="Times New Roman"/>
          <w:b/>
          <w:bCs/>
          <w:color w:val="000000" w:themeColor="text1"/>
          <w:sz w:val="28"/>
          <w:szCs w:val="28"/>
          <w:lang w:val="en-US" w:eastAsia="en-US"/>
        </w:rPr>
      </w:pPr>
      <w:r w:rsidRPr="00ED5F79">
        <w:rPr>
          <w:rFonts w:ascii="Times New Roman" w:eastAsia="MS Gothic" w:hAnsi="Times New Roman" w:cs="Times New Roman"/>
          <w:b/>
          <w:bCs/>
          <w:color w:val="000000" w:themeColor="text1"/>
          <w:sz w:val="28"/>
          <w:szCs w:val="28"/>
          <w:lang w:val="en-US" w:eastAsia="en-US"/>
        </w:rPr>
        <w:t>12. Force Majeure and Exceptional Circumstances</w:t>
      </w:r>
    </w:p>
    <w:p w14:paraId="25C3FADB"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In cases of force majeure or exceptional circumstances beyond the reasonable control of the beneficiary, implementation arrangements may be adjusted subject to prior consultation with and approval by the Civic Space Team.</w:t>
      </w:r>
    </w:p>
    <w:p w14:paraId="6A7B5AA1"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Force majeure or exceptional circumstances may include, but are not limited to:</w:t>
      </w:r>
    </w:p>
    <w:p w14:paraId="1950BFBD" w14:textId="77777777" w:rsidR="00ED5F79" w:rsidRPr="00ED5F79" w:rsidRDefault="00ED5F79" w:rsidP="00ED5F79">
      <w:pPr>
        <w:numPr>
          <w:ilvl w:val="0"/>
          <w:numId w:val="26"/>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natural disasters or extreme weather conditions; </w:t>
      </w:r>
    </w:p>
    <w:p w14:paraId="49D862B1" w14:textId="77777777" w:rsidR="00ED5F79" w:rsidRPr="00ED5F79" w:rsidRDefault="00ED5F79" w:rsidP="00ED5F79">
      <w:pPr>
        <w:numPr>
          <w:ilvl w:val="0"/>
          <w:numId w:val="26"/>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public health emergencies; </w:t>
      </w:r>
    </w:p>
    <w:p w14:paraId="0D4F0083" w14:textId="77777777" w:rsidR="00ED5F79" w:rsidRPr="00ED5F79" w:rsidRDefault="00ED5F79" w:rsidP="00ED5F79">
      <w:pPr>
        <w:numPr>
          <w:ilvl w:val="0"/>
          <w:numId w:val="26"/>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political or security-related disruptions; </w:t>
      </w:r>
    </w:p>
    <w:p w14:paraId="2AD35DC2" w14:textId="77777777" w:rsidR="00ED5F79" w:rsidRPr="00ED5F79" w:rsidRDefault="00ED5F79" w:rsidP="00ED5F79">
      <w:pPr>
        <w:numPr>
          <w:ilvl w:val="0"/>
          <w:numId w:val="26"/>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restrictions affecting movement, crossings, travel, or access; </w:t>
      </w:r>
    </w:p>
    <w:p w14:paraId="09C0AFD9" w14:textId="77777777" w:rsidR="00ED5F79" w:rsidRPr="00ED5F79" w:rsidRDefault="00ED5F79" w:rsidP="00ED5F79">
      <w:pPr>
        <w:numPr>
          <w:ilvl w:val="0"/>
          <w:numId w:val="26"/>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major operational disruptions; or </w:t>
      </w:r>
    </w:p>
    <w:p w14:paraId="4026DF8A" w14:textId="77777777" w:rsidR="00ED5F79" w:rsidRDefault="00ED5F79" w:rsidP="00ED5F79">
      <w:pPr>
        <w:numPr>
          <w:ilvl w:val="0"/>
          <w:numId w:val="26"/>
        </w:numPr>
        <w:tabs>
          <w:tab w:val="num" w:pos="720"/>
        </w:tabs>
        <w:spacing w:after="200" w:line="276" w:lineRule="auto"/>
        <w:contextualSpacing/>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other unforeseeable events significantly affecting implementation. </w:t>
      </w:r>
    </w:p>
    <w:p w14:paraId="0FCABB60" w14:textId="77777777" w:rsidR="00AD5CF3" w:rsidRPr="00ED5F79" w:rsidRDefault="00AD5CF3" w:rsidP="00AD5CF3">
      <w:pPr>
        <w:spacing w:after="200" w:line="276" w:lineRule="auto"/>
        <w:contextualSpacing/>
        <w:jc w:val="both"/>
        <w:rPr>
          <w:rFonts w:ascii="Times New Roman" w:eastAsia="MS Mincho" w:hAnsi="Times New Roman" w:cs="Times New Roman"/>
          <w:sz w:val="24"/>
          <w:szCs w:val="24"/>
          <w:lang w:val="en-US" w:eastAsia="en-US"/>
        </w:rPr>
      </w:pPr>
    </w:p>
    <w:p w14:paraId="2E5A8474"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 xml:space="preserve">Beneficiaries must inform the Civic Space Team in writing as soon as reasonably possible where such circumstances affect or may affect the implementation of the supported action. The notification </w:t>
      </w:r>
      <w:r w:rsidRPr="00ED5F79">
        <w:rPr>
          <w:rFonts w:ascii="Times New Roman" w:eastAsia="MS Mincho" w:hAnsi="Times New Roman" w:cs="Times New Roman"/>
          <w:sz w:val="24"/>
          <w:szCs w:val="24"/>
          <w:lang w:val="en-US" w:eastAsia="en-US"/>
        </w:rPr>
        <w:lastRenderedPageBreak/>
        <w:t>should include a description of the situation, the expected impact on implementation, and any proposed mitigation or adjustment measures.</w:t>
      </w:r>
    </w:p>
    <w:p w14:paraId="61982F61"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r w:rsidRPr="00ED5F79">
        <w:rPr>
          <w:rFonts w:ascii="Times New Roman" w:eastAsia="MS Mincho" w:hAnsi="Times New Roman" w:cs="Times New Roman"/>
          <w:sz w:val="24"/>
          <w:szCs w:val="24"/>
          <w:lang w:val="en-US" w:eastAsia="en-US"/>
        </w:rPr>
        <w:t>The Civic Space Team may, where justified and operationally feasible, approve modifications to implementation timelines, activities, service arrangements, or other operational modalities in accordance with the applicable procedures of the Grow Civic Facility.</w:t>
      </w:r>
    </w:p>
    <w:p w14:paraId="265E82E4" w14:textId="77777777" w:rsidR="00ED5F79" w:rsidRPr="00ED5F79" w:rsidRDefault="00ED5F79" w:rsidP="00ED5F79">
      <w:pPr>
        <w:spacing w:after="200"/>
        <w:jc w:val="both"/>
        <w:rPr>
          <w:rFonts w:ascii="Times New Roman" w:eastAsia="MS Mincho" w:hAnsi="Times New Roman" w:cs="Times New Roman"/>
          <w:sz w:val="24"/>
          <w:szCs w:val="24"/>
          <w:lang w:val="en-US" w:eastAsia="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8042"/>
      </w:tblGrid>
      <w:tr w:rsidR="00854B55" w:rsidRPr="00F90C30" w14:paraId="7397DEEB" w14:textId="77777777" w:rsidTr="009E7CC0">
        <w:tc>
          <w:tcPr>
            <w:tcW w:w="1555" w:type="dxa"/>
          </w:tcPr>
          <w:p w14:paraId="5E56CE21" w14:textId="77777777" w:rsidR="00854B55" w:rsidRPr="00F90C30" w:rsidRDefault="00854B55" w:rsidP="009E7CC0">
            <w:pPr>
              <w:spacing w:after="200" w:line="276" w:lineRule="auto"/>
              <w:rPr>
                <w:rFonts w:ascii="Times New Roman" w:eastAsia="MS Mincho" w:hAnsi="Times New Roman" w:cs="Times New Roman"/>
                <w:color w:val="000000" w:themeColor="text1"/>
                <w:sz w:val="32"/>
                <w:szCs w:val="32"/>
              </w:rPr>
            </w:pPr>
            <w:r>
              <w:rPr>
                <w:rFonts w:ascii="Times New Roman" w:eastAsia="MS Mincho" w:hAnsi="Times New Roman" w:cs="Times New Roman"/>
                <w:noProof/>
                <w:color w:val="000000" w:themeColor="text1"/>
                <w:sz w:val="32"/>
                <w:szCs w:val="32"/>
              </w:rPr>
              <w:drawing>
                <wp:inline distT="0" distB="0" distL="0" distR="0" wp14:anchorId="244FE3B8" wp14:editId="78949973">
                  <wp:extent cx="871855" cy="579120"/>
                  <wp:effectExtent l="0" t="0" r="4445" b="0"/>
                  <wp:docPr id="1642401360" name="Picture 1" descr="A flag with yellow sta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01360" name="Picture 1" descr="A flag with yellow stars in a circ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579120"/>
                          </a:xfrm>
                          <a:prstGeom prst="rect">
                            <a:avLst/>
                          </a:prstGeom>
                          <a:noFill/>
                        </pic:spPr>
                      </pic:pic>
                    </a:graphicData>
                  </a:graphic>
                </wp:inline>
              </w:drawing>
            </w:r>
          </w:p>
        </w:tc>
        <w:tc>
          <w:tcPr>
            <w:tcW w:w="8073" w:type="dxa"/>
          </w:tcPr>
          <w:p w14:paraId="432EC066" w14:textId="77777777" w:rsidR="00854B55" w:rsidRPr="00F90C30" w:rsidRDefault="00854B55" w:rsidP="009E7CC0">
            <w:pPr>
              <w:spacing w:after="200" w:line="276" w:lineRule="auto"/>
              <w:jc w:val="both"/>
              <w:rPr>
                <w:rFonts w:ascii="Times New Roman" w:eastAsia="MS Mincho" w:hAnsi="Times New Roman" w:cs="Times New Roman"/>
                <w:color w:val="000000" w:themeColor="text1"/>
                <w:sz w:val="24"/>
                <w:szCs w:val="24"/>
              </w:rPr>
            </w:pPr>
            <w:r w:rsidRPr="00F90C30">
              <w:rPr>
                <w:rFonts w:ascii="Times New Roman" w:eastAsia="MS Mincho" w:hAnsi="Times New Roman" w:cs="Times New Roman"/>
                <w:color w:val="000000" w:themeColor="text1"/>
                <w:sz w:val="24"/>
                <w:szCs w:val="24"/>
              </w:rPr>
              <w:t>This publication was funded by the European Union. Its contents are the sole responsibility of GFA Consulting Group GmbH and do not necessarily reflect the views of the European Union</w:t>
            </w:r>
            <w:r>
              <w:rPr>
                <w:rFonts w:ascii="Times New Roman" w:eastAsia="MS Mincho" w:hAnsi="Times New Roman" w:cs="Times New Roman"/>
                <w:color w:val="000000" w:themeColor="text1"/>
                <w:sz w:val="24"/>
                <w:szCs w:val="24"/>
              </w:rPr>
              <w:t>.</w:t>
            </w:r>
          </w:p>
        </w:tc>
      </w:tr>
    </w:tbl>
    <w:p w14:paraId="6C50BA69" w14:textId="3DA97067" w:rsidR="00415C4D" w:rsidRPr="00ED5F79" w:rsidRDefault="00415C4D" w:rsidP="00ED5F79">
      <w:pPr>
        <w:spacing w:before="60" w:after="60"/>
        <w:jc w:val="center"/>
        <w:rPr>
          <w:rFonts w:ascii="Times New Roman" w:eastAsia="MS Mincho" w:hAnsi="Times New Roman" w:cs="Times New Roman"/>
          <w:sz w:val="24"/>
          <w:szCs w:val="24"/>
          <w:lang w:val="en-US" w:eastAsia="en-US"/>
        </w:rPr>
      </w:pPr>
    </w:p>
    <w:sectPr w:rsidR="00415C4D" w:rsidRPr="00ED5F7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1448" w14:textId="77777777" w:rsidR="008C23B3" w:rsidRDefault="008C23B3">
      <w:r>
        <w:separator/>
      </w:r>
    </w:p>
  </w:endnote>
  <w:endnote w:type="continuationSeparator" w:id="0">
    <w:p w14:paraId="2561644F" w14:textId="77777777" w:rsidR="008C23B3" w:rsidRDefault="008C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9A94" w14:textId="77777777" w:rsidR="00854B55" w:rsidRDefault="00854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36F8" w14:textId="77777777" w:rsidR="008A4DC0" w:rsidRDefault="008A4DC0">
    <w:pPr>
      <w:pBdr>
        <w:top w:val="single" w:sz="6" w:space="4" w:color="2E5496"/>
      </w:pBdr>
      <w:spacing w:before="60"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12"/>
      <w:gridCol w:w="3212"/>
      <w:gridCol w:w="3214"/>
    </w:tblGrid>
    <w:tr w:rsidR="008A4DC0" w14:paraId="2AB00F64" w14:textId="77777777">
      <w:tc>
        <w:tcPr>
          <w:tcW w:w="3212" w:type="dxa"/>
          <w:tcBorders>
            <w:top w:val="nil"/>
            <w:left w:val="nil"/>
            <w:bottom w:val="nil"/>
            <w:right w:val="nil"/>
          </w:tcBorders>
          <w:vAlign w:val="center"/>
        </w:tcPr>
        <w:p w14:paraId="45017F3E" w14:textId="036AC891" w:rsidR="008A4DC0" w:rsidRDefault="008A4DC0"/>
      </w:tc>
      <w:tc>
        <w:tcPr>
          <w:tcW w:w="3212" w:type="dxa"/>
          <w:tcBorders>
            <w:top w:val="nil"/>
            <w:left w:val="nil"/>
            <w:bottom w:val="nil"/>
            <w:right w:val="nil"/>
          </w:tcBorders>
          <w:vAlign w:val="center"/>
        </w:tcPr>
        <w:p w14:paraId="657B3B5F" w14:textId="7CD77988" w:rsidR="008A4DC0" w:rsidRDefault="008A4DC0">
          <w:pPr>
            <w:jc w:val="center"/>
          </w:pPr>
        </w:p>
      </w:tc>
      <w:tc>
        <w:tcPr>
          <w:tcW w:w="3214" w:type="dxa"/>
          <w:tcBorders>
            <w:top w:val="nil"/>
            <w:left w:val="nil"/>
            <w:bottom w:val="nil"/>
            <w:right w:val="nil"/>
          </w:tcBorders>
          <w:vAlign w:val="center"/>
        </w:tcPr>
        <w:p w14:paraId="43A1A126" w14:textId="09AC32FC" w:rsidR="008A4DC0" w:rsidRDefault="008A4DC0">
          <w:pPr>
            <w:jc w:val="right"/>
          </w:pPr>
        </w:p>
      </w:tc>
    </w:tr>
  </w:tbl>
  <w:p w14:paraId="3F4B27F9" w14:textId="5A7EC34E" w:rsidR="008A4DC0" w:rsidRDefault="00CE46EE">
    <w:pPr>
      <w:tabs>
        <w:tab w:val="right" w:pos="9638"/>
      </w:tabs>
      <w:spacing w:before="40"/>
    </w:pPr>
    <w:r>
      <w:rPr>
        <w:noProof/>
        <w:color w:val="595959"/>
        <w:sz w:val="16"/>
        <w:szCs w:val="16"/>
      </w:rPr>
      <w:drawing>
        <wp:inline distT="0" distB="0" distL="0" distR="0" wp14:anchorId="352D13AA" wp14:editId="375CE729">
          <wp:extent cx="6120130" cy="364490"/>
          <wp:effectExtent l="0" t="0" r="0" b="0"/>
          <wp:docPr id="159852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2103" name="Picture 159852103"/>
                  <pic:cNvPicPr/>
                </pic:nvPicPr>
                <pic:blipFill>
                  <a:blip r:embed="rId1">
                    <a:extLst>
                      <a:ext uri="{28A0092B-C50C-407E-A947-70E740481C1C}">
                        <a14:useLocalDpi xmlns:a14="http://schemas.microsoft.com/office/drawing/2010/main" val="0"/>
                      </a:ext>
                    </a:extLst>
                  </a:blip>
                  <a:stretch>
                    <a:fillRect/>
                  </a:stretch>
                </pic:blipFill>
                <pic:spPr>
                  <a:xfrm>
                    <a:off x="0" y="0"/>
                    <a:ext cx="6120130" cy="364490"/>
                  </a:xfrm>
                  <a:prstGeom prst="rect">
                    <a:avLst/>
                  </a:prstGeom>
                </pic:spPr>
              </pic:pic>
            </a:graphicData>
          </a:graphic>
        </wp:inline>
      </w:drawing>
    </w:r>
    <w:r>
      <w:rPr>
        <w:color w:val="595959"/>
        <w:sz w:val="16"/>
        <w:szCs w:val="16"/>
      </w:rPr>
      <w:tab/>
      <w:t xml:space="preserve">Page </w:t>
    </w:r>
    <w:r>
      <w:fldChar w:fldCharType="begin"/>
    </w:r>
    <w:r>
      <w:instrText>PAGE</w:instrText>
    </w:r>
    <w:r>
      <w:fldChar w:fldCharType="separate"/>
    </w:r>
    <w:r w:rsidR="00E149E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F19B" w14:textId="77777777" w:rsidR="00854B55" w:rsidRDefault="00854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69C0" w14:textId="77777777" w:rsidR="008C23B3" w:rsidRDefault="008C23B3">
      <w:r>
        <w:separator/>
      </w:r>
    </w:p>
  </w:footnote>
  <w:footnote w:type="continuationSeparator" w:id="0">
    <w:p w14:paraId="4F8EA052" w14:textId="77777777" w:rsidR="008C23B3" w:rsidRDefault="008C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C65A" w14:textId="77777777" w:rsidR="00854B55" w:rsidRDefault="00854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5317" w14:textId="4DBB38DA" w:rsidR="008A4DC0" w:rsidRDefault="008A4DC0">
    <w:pPr>
      <w:pBdr>
        <w:bottom w:val="single" w:sz="6" w:space="1" w:color="2E5496"/>
      </w:pBdr>
      <w:tabs>
        <w:tab w:val="right" w:pos="9638"/>
      </w:tabs>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7C04" w14:textId="77777777" w:rsidR="00854B55" w:rsidRDefault="00854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979"/>
    <w:multiLevelType w:val="hybridMultilevel"/>
    <w:tmpl w:val="378A1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BA4847"/>
    <w:multiLevelType w:val="multilevel"/>
    <w:tmpl w:val="2F1C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31141"/>
    <w:multiLevelType w:val="multilevel"/>
    <w:tmpl w:val="5E0A3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02F9A"/>
    <w:multiLevelType w:val="hybridMultilevel"/>
    <w:tmpl w:val="B5B2F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FA5A8D"/>
    <w:multiLevelType w:val="multilevel"/>
    <w:tmpl w:val="411AE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D3783"/>
    <w:multiLevelType w:val="hybridMultilevel"/>
    <w:tmpl w:val="AA8AEFA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58F4F8E"/>
    <w:multiLevelType w:val="hybridMultilevel"/>
    <w:tmpl w:val="A6FA63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1687744B"/>
    <w:multiLevelType w:val="hybridMultilevel"/>
    <w:tmpl w:val="7BA0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634E4"/>
    <w:multiLevelType w:val="multilevel"/>
    <w:tmpl w:val="B010E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07F96"/>
    <w:multiLevelType w:val="multilevel"/>
    <w:tmpl w:val="D9367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9381A"/>
    <w:multiLevelType w:val="multilevel"/>
    <w:tmpl w:val="D9E81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35A11"/>
    <w:multiLevelType w:val="multilevel"/>
    <w:tmpl w:val="253CC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846DC"/>
    <w:multiLevelType w:val="hybridMultilevel"/>
    <w:tmpl w:val="44EED5D2"/>
    <w:lvl w:ilvl="0" w:tplc="62B2DCA6">
      <w:start w:val="1"/>
      <w:numFmt w:val="bullet"/>
      <w:lvlText w:val="●"/>
      <w:lvlJc w:val="left"/>
      <w:pPr>
        <w:ind w:left="720" w:hanging="360"/>
      </w:pPr>
    </w:lvl>
    <w:lvl w:ilvl="1" w:tplc="78C24512">
      <w:start w:val="1"/>
      <w:numFmt w:val="bullet"/>
      <w:lvlText w:val="○"/>
      <w:lvlJc w:val="left"/>
      <w:pPr>
        <w:ind w:left="1440" w:hanging="360"/>
      </w:pPr>
    </w:lvl>
    <w:lvl w:ilvl="2" w:tplc="166455E4">
      <w:start w:val="1"/>
      <w:numFmt w:val="bullet"/>
      <w:lvlText w:val="■"/>
      <w:lvlJc w:val="left"/>
      <w:pPr>
        <w:ind w:left="2160" w:hanging="360"/>
      </w:pPr>
    </w:lvl>
    <w:lvl w:ilvl="3" w:tplc="7A1C0344">
      <w:start w:val="1"/>
      <w:numFmt w:val="bullet"/>
      <w:lvlText w:val="●"/>
      <w:lvlJc w:val="left"/>
      <w:pPr>
        <w:ind w:left="2880" w:hanging="360"/>
      </w:pPr>
    </w:lvl>
    <w:lvl w:ilvl="4" w:tplc="B48A8DD6">
      <w:start w:val="1"/>
      <w:numFmt w:val="bullet"/>
      <w:lvlText w:val="○"/>
      <w:lvlJc w:val="left"/>
      <w:pPr>
        <w:ind w:left="3600" w:hanging="360"/>
      </w:pPr>
    </w:lvl>
    <w:lvl w:ilvl="5" w:tplc="C1F6A768">
      <w:start w:val="1"/>
      <w:numFmt w:val="bullet"/>
      <w:lvlText w:val="■"/>
      <w:lvlJc w:val="left"/>
      <w:pPr>
        <w:ind w:left="4320" w:hanging="360"/>
      </w:pPr>
    </w:lvl>
    <w:lvl w:ilvl="6" w:tplc="EB329EC6">
      <w:start w:val="1"/>
      <w:numFmt w:val="bullet"/>
      <w:lvlText w:val="●"/>
      <w:lvlJc w:val="left"/>
      <w:pPr>
        <w:ind w:left="5040" w:hanging="360"/>
      </w:pPr>
    </w:lvl>
    <w:lvl w:ilvl="7" w:tplc="B0123C58">
      <w:start w:val="1"/>
      <w:numFmt w:val="bullet"/>
      <w:lvlText w:val="●"/>
      <w:lvlJc w:val="left"/>
      <w:pPr>
        <w:ind w:left="5760" w:hanging="360"/>
      </w:pPr>
    </w:lvl>
    <w:lvl w:ilvl="8" w:tplc="4858BAE8">
      <w:start w:val="1"/>
      <w:numFmt w:val="bullet"/>
      <w:lvlText w:val="●"/>
      <w:lvlJc w:val="left"/>
      <w:pPr>
        <w:ind w:left="6480" w:hanging="360"/>
      </w:pPr>
    </w:lvl>
  </w:abstractNum>
  <w:abstractNum w:abstractNumId="13" w15:restartNumberingAfterBreak="0">
    <w:nsid w:val="35A67295"/>
    <w:multiLevelType w:val="hybridMultilevel"/>
    <w:tmpl w:val="FB8CC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DC35B0"/>
    <w:multiLevelType w:val="hybridMultilevel"/>
    <w:tmpl w:val="513AA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B9726E"/>
    <w:multiLevelType w:val="hybridMultilevel"/>
    <w:tmpl w:val="89B2E91A"/>
    <w:lvl w:ilvl="0" w:tplc="5108F1E8">
      <w:start w:val="1"/>
      <w:numFmt w:val="bullet"/>
      <w:lvlText w:val="•"/>
      <w:lvlJc w:val="left"/>
      <w:pPr>
        <w:ind w:left="720" w:hanging="360"/>
      </w:pPr>
    </w:lvl>
    <w:lvl w:ilvl="1" w:tplc="FE8CE294">
      <w:numFmt w:val="decimal"/>
      <w:lvlText w:val=""/>
      <w:lvlJc w:val="left"/>
    </w:lvl>
    <w:lvl w:ilvl="2" w:tplc="DAC2E8E4">
      <w:numFmt w:val="decimal"/>
      <w:lvlText w:val=""/>
      <w:lvlJc w:val="left"/>
    </w:lvl>
    <w:lvl w:ilvl="3" w:tplc="F9443BDA">
      <w:numFmt w:val="decimal"/>
      <w:lvlText w:val=""/>
      <w:lvlJc w:val="left"/>
    </w:lvl>
    <w:lvl w:ilvl="4" w:tplc="A0486766">
      <w:numFmt w:val="decimal"/>
      <w:lvlText w:val=""/>
      <w:lvlJc w:val="left"/>
    </w:lvl>
    <w:lvl w:ilvl="5" w:tplc="4BC42AE4">
      <w:numFmt w:val="decimal"/>
      <w:lvlText w:val=""/>
      <w:lvlJc w:val="left"/>
    </w:lvl>
    <w:lvl w:ilvl="6" w:tplc="E2904C00">
      <w:numFmt w:val="decimal"/>
      <w:lvlText w:val=""/>
      <w:lvlJc w:val="left"/>
    </w:lvl>
    <w:lvl w:ilvl="7" w:tplc="FC587D66">
      <w:numFmt w:val="decimal"/>
      <w:lvlText w:val=""/>
      <w:lvlJc w:val="left"/>
    </w:lvl>
    <w:lvl w:ilvl="8" w:tplc="368C2164">
      <w:numFmt w:val="decimal"/>
      <w:lvlText w:val=""/>
      <w:lvlJc w:val="left"/>
    </w:lvl>
  </w:abstractNum>
  <w:abstractNum w:abstractNumId="16" w15:restartNumberingAfterBreak="0">
    <w:nsid w:val="4166325A"/>
    <w:multiLevelType w:val="hybridMultilevel"/>
    <w:tmpl w:val="B6CC5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9B3E25"/>
    <w:multiLevelType w:val="hybridMultilevel"/>
    <w:tmpl w:val="7EB09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99F0D38"/>
    <w:multiLevelType w:val="hybridMultilevel"/>
    <w:tmpl w:val="ADA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7415BE"/>
    <w:multiLevelType w:val="hybridMultilevel"/>
    <w:tmpl w:val="B900E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A4598F"/>
    <w:multiLevelType w:val="multilevel"/>
    <w:tmpl w:val="373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50B94"/>
    <w:multiLevelType w:val="hybridMultilevel"/>
    <w:tmpl w:val="D19E3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55B43CD"/>
    <w:multiLevelType w:val="multilevel"/>
    <w:tmpl w:val="BD0C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25B25"/>
    <w:multiLevelType w:val="multilevel"/>
    <w:tmpl w:val="B574A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F3CED"/>
    <w:multiLevelType w:val="multilevel"/>
    <w:tmpl w:val="386CD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C3030"/>
    <w:multiLevelType w:val="hybridMultilevel"/>
    <w:tmpl w:val="D71E4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224988"/>
    <w:multiLevelType w:val="hybridMultilevel"/>
    <w:tmpl w:val="561CE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305C98"/>
    <w:multiLevelType w:val="multilevel"/>
    <w:tmpl w:val="01B61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81A64"/>
    <w:multiLevelType w:val="multilevel"/>
    <w:tmpl w:val="65641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57777">
    <w:abstractNumId w:val="12"/>
    <w:lvlOverride w:ilvl="0">
      <w:startOverride w:val="1"/>
    </w:lvlOverride>
  </w:num>
  <w:num w:numId="2" w16cid:durableId="414086606">
    <w:abstractNumId w:val="6"/>
  </w:num>
  <w:num w:numId="3" w16cid:durableId="387187854">
    <w:abstractNumId w:val="5"/>
  </w:num>
  <w:num w:numId="4" w16cid:durableId="435911312">
    <w:abstractNumId w:val="27"/>
  </w:num>
  <w:num w:numId="5" w16cid:durableId="1273052361">
    <w:abstractNumId w:val="13"/>
  </w:num>
  <w:num w:numId="6" w16cid:durableId="2047755959">
    <w:abstractNumId w:val="26"/>
  </w:num>
  <w:num w:numId="7" w16cid:durableId="1297492294">
    <w:abstractNumId w:val="19"/>
  </w:num>
  <w:num w:numId="8" w16cid:durableId="1080641543">
    <w:abstractNumId w:val="10"/>
  </w:num>
  <w:num w:numId="9" w16cid:durableId="2094935726">
    <w:abstractNumId w:val="8"/>
  </w:num>
  <w:num w:numId="10" w16cid:durableId="146484070">
    <w:abstractNumId w:val="18"/>
  </w:num>
  <w:num w:numId="11" w16cid:durableId="461655004">
    <w:abstractNumId w:val="0"/>
  </w:num>
  <w:num w:numId="12" w16cid:durableId="2089619430">
    <w:abstractNumId w:val="4"/>
  </w:num>
  <w:num w:numId="13" w16cid:durableId="1817722130">
    <w:abstractNumId w:val="11"/>
  </w:num>
  <w:num w:numId="14" w16cid:durableId="535435303">
    <w:abstractNumId w:val="24"/>
  </w:num>
  <w:num w:numId="15" w16cid:durableId="1891842290">
    <w:abstractNumId w:val="28"/>
  </w:num>
  <w:num w:numId="16" w16cid:durableId="1510681491">
    <w:abstractNumId w:val="9"/>
  </w:num>
  <w:num w:numId="17" w16cid:durableId="979454245">
    <w:abstractNumId w:val="16"/>
  </w:num>
  <w:num w:numId="18" w16cid:durableId="334766510">
    <w:abstractNumId w:val="7"/>
  </w:num>
  <w:num w:numId="19" w16cid:durableId="168179264">
    <w:abstractNumId w:val="14"/>
  </w:num>
  <w:num w:numId="20" w16cid:durableId="1465780977">
    <w:abstractNumId w:val="23"/>
  </w:num>
  <w:num w:numId="21" w16cid:durableId="1169521696">
    <w:abstractNumId w:val="22"/>
  </w:num>
  <w:num w:numId="22" w16cid:durableId="1002586814">
    <w:abstractNumId w:val="17"/>
  </w:num>
  <w:num w:numId="23" w16cid:durableId="1724939485">
    <w:abstractNumId w:val="21"/>
  </w:num>
  <w:num w:numId="24" w16cid:durableId="1915119891">
    <w:abstractNumId w:val="2"/>
  </w:num>
  <w:num w:numId="25" w16cid:durableId="994071950">
    <w:abstractNumId w:val="3"/>
  </w:num>
  <w:num w:numId="26" w16cid:durableId="1162621780">
    <w:abstractNumId w:val="25"/>
  </w:num>
  <w:num w:numId="27" w16cid:durableId="2125610001">
    <w:abstractNumId w:val="20"/>
  </w:num>
  <w:num w:numId="28" w16cid:durableId="2043508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C0"/>
    <w:rsid w:val="0000177D"/>
    <w:rsid w:val="000642A9"/>
    <w:rsid w:val="000F1762"/>
    <w:rsid w:val="000F71C6"/>
    <w:rsid w:val="00237EC1"/>
    <w:rsid w:val="002B7A35"/>
    <w:rsid w:val="002D269B"/>
    <w:rsid w:val="0030519C"/>
    <w:rsid w:val="00352999"/>
    <w:rsid w:val="003B7AF7"/>
    <w:rsid w:val="003E7DD5"/>
    <w:rsid w:val="00415C4D"/>
    <w:rsid w:val="00465068"/>
    <w:rsid w:val="005274DF"/>
    <w:rsid w:val="00640286"/>
    <w:rsid w:val="00665E95"/>
    <w:rsid w:val="00710DE8"/>
    <w:rsid w:val="00846770"/>
    <w:rsid w:val="00854B55"/>
    <w:rsid w:val="008A4DC0"/>
    <w:rsid w:val="008C23B3"/>
    <w:rsid w:val="008E3C8A"/>
    <w:rsid w:val="009130D2"/>
    <w:rsid w:val="009D53F5"/>
    <w:rsid w:val="00A91E6C"/>
    <w:rsid w:val="00AC2B0D"/>
    <w:rsid w:val="00AD5CF3"/>
    <w:rsid w:val="00AF5569"/>
    <w:rsid w:val="00B13C21"/>
    <w:rsid w:val="00B15374"/>
    <w:rsid w:val="00BE55B4"/>
    <w:rsid w:val="00CE46EE"/>
    <w:rsid w:val="00CF313E"/>
    <w:rsid w:val="00DF0D8F"/>
    <w:rsid w:val="00E149E5"/>
    <w:rsid w:val="00ED5F79"/>
    <w:rsid w:val="00F02A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FAFF"/>
  <w15:docId w15:val="{2FBD3578-ADB3-45D7-B5CF-3ED32568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20"/>
      <w:outlineLvl w:val="0"/>
    </w:pPr>
    <w:rPr>
      <w:b/>
      <w:bCs/>
      <w:color w:val="1F3864"/>
      <w:sz w:val="28"/>
      <w:szCs w:val="28"/>
    </w:rPr>
  </w:style>
  <w:style w:type="paragraph" w:styleId="Heading2">
    <w:name w:val="heading 2"/>
    <w:uiPriority w:val="9"/>
    <w:unhideWhenUsed/>
    <w:qFormat/>
    <w:pPr>
      <w:spacing w:before="200" w:after="8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149E5"/>
    <w:pPr>
      <w:tabs>
        <w:tab w:val="center" w:pos="4513"/>
        <w:tab w:val="right" w:pos="9026"/>
      </w:tabs>
    </w:pPr>
  </w:style>
  <w:style w:type="character" w:customStyle="1" w:styleId="HeaderChar">
    <w:name w:val="Header Char"/>
    <w:basedOn w:val="DefaultParagraphFont"/>
    <w:link w:val="Header"/>
    <w:uiPriority w:val="99"/>
    <w:rsid w:val="00E149E5"/>
  </w:style>
  <w:style w:type="paragraph" w:styleId="Footer">
    <w:name w:val="footer"/>
    <w:basedOn w:val="Normal"/>
    <w:link w:val="FooterChar"/>
    <w:uiPriority w:val="99"/>
    <w:unhideWhenUsed/>
    <w:rsid w:val="00E149E5"/>
    <w:pPr>
      <w:tabs>
        <w:tab w:val="center" w:pos="4513"/>
        <w:tab w:val="right" w:pos="9026"/>
      </w:tabs>
    </w:pPr>
  </w:style>
  <w:style w:type="character" w:customStyle="1" w:styleId="FooterChar">
    <w:name w:val="Footer Char"/>
    <w:basedOn w:val="DefaultParagraphFont"/>
    <w:link w:val="Footer"/>
    <w:uiPriority w:val="99"/>
    <w:rsid w:val="00E149E5"/>
  </w:style>
  <w:style w:type="table" w:styleId="TableGrid">
    <w:name w:val="Table Grid"/>
    <w:basedOn w:val="TableNormal"/>
    <w:uiPriority w:val="59"/>
    <w:rsid w:val="000F1762"/>
    <w:rPr>
      <w:rFonts w:asciiTheme="minorHAnsi" w:eastAsiaTheme="minorEastAsia"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15C4D"/>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5F79"/>
    <w:rPr>
      <w:rFonts w:ascii="Cambria" w:eastAsia="MS Mincho" w:hAnsi="Cambria"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vicspace@gfa-group.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pplications.civicspace@gfa-group.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3E6F6-BF82-4D22-986C-741E2996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5162</Words>
  <Characters>34025</Characters>
  <Application>Microsoft Office Word</Application>
  <DocSecurity>0</DocSecurity>
  <Lines>596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STOLERU Mihai-Florin (REGIO)</cp:lastModifiedBy>
  <cp:revision>4</cp:revision>
  <dcterms:created xsi:type="dcterms:W3CDTF">2026-06-08T12:47:00Z</dcterms:created>
  <dcterms:modified xsi:type="dcterms:W3CDTF">2026-06-09T10:59:00Z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2026-06-08T13:17:15Z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d2b7b489-4114-4315-8027-b45458c3669b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